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7.060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X</w:t>
            </w:r>
            <w:r>
              <w:rPr>
                <w:rFonts w:hint="eastAsia" w:ascii="黑体" w:hAnsi="黑体" w:eastAsia="黑体"/>
                <w:sz w:val="21"/>
                <w:szCs w:val="21"/>
                <w:lang w:val="en-US" w:eastAsia="zh-CN"/>
              </w:rPr>
              <w:t xml:space="preserve"> 11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地理标志证明商标</w:t>
      </w:r>
      <w:r>
        <w:rPr>
          <w:rFonts w:hint="eastAsia"/>
          <w:lang w:val="en-US" w:eastAsia="zh-CN"/>
        </w:rPr>
        <w:t xml:space="preserve"> </w:t>
      </w:r>
      <w:r>
        <w:rPr>
          <w:rFonts w:hint="eastAsia"/>
          <w:lang w:eastAsia="zh-CN"/>
        </w:rPr>
        <w:t>洪江米</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Geographical indication certification trademark</w:t>
      </w:r>
      <w:r>
        <w:rPr>
          <w:rFonts w:hint="eastAsia" w:eastAsia="黑体"/>
          <w:szCs w:val="28"/>
          <w:lang w:val="en-US" w:eastAsia="zh-CN"/>
        </w:rPr>
        <w:t>-</w:t>
      </w:r>
      <w:r>
        <w:rPr>
          <w:rFonts w:hint="eastAsia" w:eastAsia="黑体"/>
          <w:szCs w:val="28"/>
        </w:rPr>
        <w:t xml:space="preserve"> Hongjiang</w:t>
      </w:r>
      <w:r>
        <w:rPr>
          <w:rFonts w:hint="eastAsia" w:eastAsia="黑体"/>
          <w:szCs w:val="28"/>
          <w:lang w:val="en-US" w:eastAsia="zh-CN"/>
        </w:rPr>
        <w:t xml:space="preserve"> rice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default" w:ascii="Times New Roman" w:hAnsi="Times New Roman" w:cs="Times New Roman"/>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keepNext w:val="0"/>
        <w:keepLines w:val="0"/>
        <w:widowControl/>
        <w:suppressLineNumbers w:val="0"/>
        <w:ind w:firstLine="420" w:firstLineChars="200"/>
        <w:jc w:val="left"/>
        <w:rPr>
          <w:sz w:val="22"/>
          <w:szCs w:val="22"/>
        </w:rPr>
      </w:pPr>
      <w:r>
        <w:rPr>
          <w:rFonts w:hint="eastAsia"/>
        </w:rPr>
        <w:t>本文件</w:t>
      </w:r>
      <w:r>
        <w:rPr>
          <w:rFonts w:hint="eastAsia" w:ascii="宋体" w:hAnsi="Times New Roman" w:eastAsia="宋体" w:cs="Times New Roman"/>
          <w:kern w:val="0"/>
          <w:sz w:val="21"/>
          <w:szCs w:val="20"/>
          <w:lang w:val="en-US" w:eastAsia="zh-CN" w:bidi="ar-SA"/>
        </w:rPr>
        <w:t>由遵义市汇川区团泽镇农业服务中心</w:t>
      </w:r>
      <w:r>
        <w:rPr>
          <w:rFonts w:hint="eastAsia"/>
        </w:rPr>
        <w:t>提出。</w:t>
      </w:r>
    </w:p>
    <w:p>
      <w:pPr>
        <w:pStyle w:val="57"/>
        <w:ind w:firstLine="420"/>
      </w:pPr>
      <w:r>
        <w:rPr>
          <w:rFonts w:hint="eastAsia"/>
        </w:rPr>
        <w:t>本文件由中国农业国际合作促进会归口。</w:t>
      </w:r>
    </w:p>
    <w:p>
      <w:pPr>
        <w:pStyle w:val="57"/>
        <w:ind w:firstLine="420"/>
        <w:rPr>
          <w:rFonts w:hint="eastAsia"/>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地理标志证明商标 洪江米</w:t>
          </w:r>
        </w:p>
      </w:sdtContent>
    </w:sdt>
    <w:bookmarkEnd w:id="23"/>
    <w:p>
      <w:pPr>
        <w:pStyle w:val="105"/>
        <w:spacing w:before="240" w:after="240"/>
      </w:pPr>
      <w:bookmarkStart w:id="24" w:name="_Toc97192964"/>
      <w:bookmarkStart w:id="25" w:name="_Toc26718930"/>
      <w:bookmarkStart w:id="26" w:name="_Toc24884218"/>
      <w:bookmarkStart w:id="27" w:name="_Toc26648465"/>
      <w:bookmarkStart w:id="28" w:name="_Toc17233333"/>
      <w:bookmarkStart w:id="29" w:name="_Toc107483146"/>
      <w:bookmarkStart w:id="30" w:name="_Toc17233325"/>
      <w:bookmarkStart w:id="31" w:name="_Toc26986771"/>
      <w:bookmarkStart w:id="32" w:name="_Toc26986530"/>
      <w:bookmarkStart w:id="33" w:name="_Toc24884211"/>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pPr>
      <w:bookmarkStart w:id="34" w:name="_Toc24884212"/>
      <w:bookmarkStart w:id="35" w:name="_Toc26648466"/>
      <w:bookmarkStart w:id="36" w:name="_Toc97192965"/>
      <w:bookmarkStart w:id="37" w:name="_Toc24884219"/>
      <w:bookmarkStart w:id="38" w:name="_Toc17233334"/>
      <w:bookmarkStart w:id="39" w:name="_Toc26718931"/>
      <w:bookmarkStart w:id="40" w:name="_Toc107483147"/>
      <w:bookmarkStart w:id="41" w:name="_Toc26986531"/>
      <w:bookmarkStart w:id="42" w:name="_Toc17233326"/>
      <w:bookmarkStart w:id="43" w:name="_Toc26986772"/>
      <w:r>
        <w:t>本文件规定了</w:t>
      </w:r>
      <w:r>
        <w:rPr>
          <w:rFonts w:hint="eastAsia"/>
          <w:lang w:val="en-US" w:eastAsia="zh-CN"/>
        </w:rPr>
        <w:t>地理标志证明商标洪江米</w:t>
      </w:r>
      <w:r>
        <w:t>的</w:t>
      </w:r>
      <w:r>
        <w:rPr>
          <w:rFonts w:hint="eastAsia" w:ascii="宋体" w:hAnsi="Times New Roman" w:eastAsia="宋体" w:cs="Times New Roman"/>
          <w:lang w:val="en-US" w:eastAsia="zh-CN"/>
        </w:rPr>
        <w:t>术语和定义、</w:t>
      </w:r>
      <w:r>
        <w:rPr>
          <w:rFonts w:hint="eastAsia"/>
          <w:lang w:val="en-US" w:eastAsia="zh-CN"/>
        </w:rPr>
        <w:t>保护范围、</w:t>
      </w:r>
      <w:r>
        <w:t>自然环境、要求、检验方法、检验规则、标志、包装、运输</w:t>
      </w:r>
      <w:r>
        <w:rPr>
          <w:rFonts w:hint="eastAsia"/>
        </w:rPr>
        <w:t>和</w:t>
      </w:r>
      <w:r>
        <w:t>贮存。</w:t>
      </w:r>
    </w:p>
    <w:p>
      <w:pPr>
        <w:pStyle w:val="57"/>
        <w:ind w:firstLine="420"/>
        <w:rPr>
          <w:rFonts w:hint="default"/>
          <w:lang w:val="en-US" w:eastAsia="zh-CN"/>
        </w:rPr>
      </w:pPr>
      <w:r>
        <w:rPr>
          <w:rFonts w:hint="eastAsia"/>
          <w:lang w:val="en-US" w:eastAsia="zh-CN"/>
        </w:rPr>
        <w:t>本文件适用于国家知识产权局第1886期《商标公告》，第67473297号核准的地理标志证明商标洪江米。</w:t>
      </w:r>
    </w:p>
    <w:p>
      <w:pPr>
        <w:pStyle w:val="105"/>
        <w:spacing w:before="240" w:after="240"/>
        <w:rPr>
          <w:rFonts w:hint="eastAsia"/>
        </w:rPr>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bookmarkStart w:id="44" w:name="_Toc107483148"/>
      <w:bookmarkStart w:id="45" w:name="_Toc97192966"/>
      <w:r>
        <w:rPr>
          <w:rFonts w:hint="eastAsia" w:ascii="Times New Roman" w:hAnsi="Times New Roman" w:eastAsia="宋体" w:cs="Times New Roman"/>
          <w:color w:val="000000"/>
          <w:kern w:val="0"/>
          <w:sz w:val="21"/>
          <w:szCs w:val="21"/>
          <w:lang w:val="en-US" w:eastAsia="zh-CN" w:bidi="ar"/>
        </w:rPr>
        <w:t>GB/T 191  包装储运图示标志</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GB/T 1354 大米</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 2715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食品安全国家标准 粮食 </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 5009.3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食品安全国家标准 食品中水分的测定 </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 5084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cs="Times New Roman"/>
          <w:kern w:val="2"/>
          <w:sz w:val="21"/>
          <w:szCs w:val="21"/>
          <w:lang w:val="en-US" w:eastAsia="zh-CN" w:bidi="ar-SA"/>
        </w:rPr>
        <w:t>农田灌溉水质标准</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 5491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粮食、油料检验 扦样、分样法 </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 5492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粮油检验 粮食、油料的色泽、气味、口味鉴定 </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GB/T 5493  粮油检验 类型及互混检验</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 5494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粮油检验 粮食、油料的杂质、不完善粒检验 </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GB/T 5502  粮油检验 大米加工精度检验</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 5503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粮油检验 碎米检验法</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eastAsia"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GB 7718  食品安全国家标准 预包装食品标签通则</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GB 14881  食品安全国家标准 食品生产通用卫生规范</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GB/T 15683  大米 直链淀粉含量的测定</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GB/T 17109  粮食销售包装</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GB/T 17891  优质稻谷</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JJF 1070</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定量包装商品净含量计量检验规则 </w:t>
      </w:r>
    </w:p>
    <w:p>
      <w:pPr>
        <w:pStyle w:val="105"/>
        <w:spacing w:before="240" w:after="240"/>
        <w:rPr>
          <w:rFonts w:hint="eastAsia"/>
        </w:rPr>
      </w:pPr>
      <w:r>
        <w:rPr>
          <w:rFonts w:hint="eastAsia"/>
        </w:rPr>
        <w:t>术语和定义</w:t>
      </w:r>
      <w:bookmarkEnd w:id="44"/>
      <w:bookmarkEnd w:id="45"/>
    </w:p>
    <w:sdt>
      <w:sdtPr>
        <w:rPr>
          <w:rFonts w:hint="default" w:ascii="Times New Roman" w:hAnsi="Times New Roman" w:cs="Times New Roman"/>
        </w:r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57"/>
            <w:ind w:firstLine="420"/>
            <w:rPr>
              <w:rFonts w:ascii="黑体" w:hAnsi="黑体" w:eastAsia="黑体"/>
            </w:rPr>
          </w:pPr>
          <w:bookmarkStart w:id="46" w:name="_Toc26986532"/>
          <w:bookmarkEnd w:id="46"/>
          <w:r>
            <w:rPr>
              <w:rFonts w:hint="default" w:ascii="Times New Roman" w:hAnsi="Times New Roman" w:cs="Times New Roman"/>
              <w:lang w:val="en-US" w:eastAsia="zh-CN"/>
            </w:rPr>
            <w:t>GB/T 1354</w:t>
          </w:r>
          <w:r>
            <w:rPr>
              <w:rFonts w:hint="eastAsia" w:ascii="Times New Roman" w:hAnsi="Times New Roman" w:cs="Times New Roman"/>
              <w:lang w:val="en-US" w:eastAsia="zh-CN"/>
            </w:rPr>
            <w:t>界定</w:t>
          </w:r>
          <w:r>
            <w:rPr>
              <w:rFonts w:hint="default" w:ascii="Times New Roman" w:hAnsi="Times New Roman" w:cs="Times New Roman"/>
              <w:lang w:val="en-US" w:eastAsia="zh-CN"/>
            </w:rPr>
            <w:t>的以及</w:t>
          </w:r>
          <w:r>
            <w:rPr>
              <w:rFonts w:hint="default" w:ascii="Times New Roman" w:hAnsi="Times New Roman" w:cs="Times New Roman"/>
            </w:rPr>
            <w:t>下列术语和定义适用于本文件。</w:t>
          </w:r>
          <w:bookmarkStart w:id="47" w:name="_Toc107483149"/>
          <w:bookmarkEnd w:id="47"/>
        </w:p>
      </w:sdtContent>
    </w:sdt>
    <w:p>
      <w:pPr>
        <w:pStyle w:val="224"/>
        <w:spacing w:before="120" w:beforeLines="50" w:after="120" w:afterLines="50" w:line="276" w:lineRule="auto"/>
        <w:ind w:left="424" w:leftChars="2" w:hanging="420" w:hangingChars="200"/>
        <w:rPr>
          <w:rFonts w:ascii="黑体" w:hAnsi="黑体" w:eastAsia="黑体"/>
        </w:rPr>
      </w:pPr>
    </w:p>
    <w:p>
      <w:pPr>
        <w:pStyle w:val="224"/>
        <w:numPr>
          <w:ilvl w:val="2"/>
          <w:numId w:val="0"/>
        </w:numPr>
        <w:spacing w:before="120" w:beforeLines="50" w:after="120" w:afterLines="50" w:line="276" w:lineRule="auto"/>
        <w:ind w:leftChars="-198" w:firstLine="840" w:firstLineChars="400"/>
        <w:rPr>
          <w:rFonts w:hint="default" w:ascii="黑体" w:hAnsi="黑体" w:eastAsia="黑体"/>
          <w:lang w:val="en-US"/>
        </w:rPr>
      </w:pPr>
      <w:r>
        <w:rPr>
          <w:rFonts w:hint="eastAsia" w:ascii="黑体" w:hAnsi="黑体" w:eastAsia="黑体"/>
          <w:lang w:val="en-US" w:eastAsia="zh-CN"/>
        </w:rPr>
        <w:t>洪江米</w:t>
      </w:r>
      <w:r>
        <w:rPr>
          <w:rFonts w:ascii="黑体" w:hAnsi="黑体" w:eastAsia="黑体"/>
        </w:rPr>
        <w:t xml:space="preserve">  </w:t>
      </w:r>
      <w:r>
        <w:rPr>
          <w:rFonts w:hint="eastAsia" w:ascii="黑体" w:hAnsi="黑体" w:eastAsia="黑体"/>
          <w:lang w:val="en-US" w:eastAsia="zh-CN"/>
        </w:rPr>
        <w:t>Hongjiang rice</w:t>
      </w:r>
    </w:p>
    <w:p>
      <w:pPr>
        <w:pStyle w:val="13"/>
        <w:spacing w:line="276" w:lineRule="auto"/>
        <w:ind w:right="275" w:firstLine="420" w:firstLineChars="200"/>
        <w:rPr>
          <w:rFonts w:hint="eastAsia" w:ascii="宋体" w:hAnsi="宋体" w:cs="微软雅黑"/>
        </w:rPr>
      </w:pPr>
      <w:r>
        <w:rPr>
          <w:rFonts w:hint="eastAsia" w:ascii="宋体" w:hAnsi="宋体" w:cs="微软雅黑"/>
        </w:rPr>
        <w:t>在</w:t>
      </w:r>
      <w:r>
        <w:rPr>
          <w:rFonts w:hint="eastAsia" w:ascii="宋体" w:hAnsi="宋体" w:eastAsia="宋体" w:cs="Times New Roman"/>
          <w:lang w:val="en-US" w:eastAsia="zh-CN"/>
        </w:rPr>
        <w:t>遵义市汇川区团泽镇</w:t>
      </w:r>
      <w:r>
        <w:rPr>
          <w:rFonts w:hint="eastAsia" w:ascii="宋体" w:hAnsi="宋体" w:eastAsia="宋体" w:cs="Times New Roman"/>
        </w:rPr>
        <w:t>范围内</w:t>
      </w:r>
      <w:r>
        <w:rPr>
          <w:rFonts w:ascii="宋体" w:hAnsi="宋体" w:eastAsia="宋体" w:cs="Times New Roman"/>
        </w:rPr>
        <w:t>种植</w:t>
      </w:r>
      <w:r>
        <w:rPr>
          <w:rFonts w:hint="eastAsia" w:ascii="宋体" w:hAnsi="宋体" w:eastAsia="宋体" w:cs="Times New Roman"/>
        </w:rPr>
        <w:t>生产</w:t>
      </w:r>
      <w:r>
        <w:rPr>
          <w:rFonts w:ascii="宋体" w:hAnsi="宋体" w:eastAsia="宋体" w:cs="Times New Roman"/>
        </w:rPr>
        <w:t>，</w:t>
      </w:r>
      <w:r>
        <w:rPr>
          <w:rFonts w:hint="eastAsia" w:ascii="宋体" w:hAnsi="宋体" w:eastAsia="宋体" w:cs="Times New Roman"/>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lang w:val="en-US" w:eastAsia="zh-CN"/>
        </w:rPr>
        <w:t>大米</w:t>
      </w:r>
      <w:r>
        <w:rPr>
          <w:rFonts w:hint="eastAsia" w:ascii="宋体" w:hAnsi="宋体" w:cs="微软雅黑"/>
        </w:rPr>
        <w:t>。</w:t>
      </w:r>
    </w:p>
    <w:p>
      <w:pPr>
        <w:pStyle w:val="105"/>
        <w:spacing w:before="240" w:after="240"/>
        <w:rPr>
          <w:rFonts w:hint="eastAsia"/>
          <w:lang w:val="en-US" w:eastAsia="zh-CN"/>
        </w:rPr>
      </w:pPr>
      <w:r>
        <w:rPr>
          <w:rFonts w:hint="eastAsia"/>
          <w:lang w:val="en-US" w:eastAsia="zh-CN"/>
        </w:rPr>
        <w:t xml:space="preserve">地理标志证明商标保护范围 </w:t>
      </w:r>
    </w:p>
    <w:p>
      <w:pPr>
        <w:pStyle w:val="57"/>
        <w:ind w:firstLine="420"/>
        <w:rPr>
          <w:rFonts w:hint="default" w:ascii="Times New Roman" w:hAnsi="Times New Roman" w:cs="Times New Roman"/>
          <w:lang w:eastAsia="zh-CN"/>
        </w:rPr>
      </w:pPr>
      <w:r>
        <w:rPr>
          <w:rFonts w:hint="default" w:ascii="Times New Roman" w:hAnsi="Times New Roman" w:eastAsia="宋体" w:cs="Times New Roman"/>
        </w:rPr>
        <w:t>保护的区域范围为遵义市汇川区团泽镇所辖洪江村、团泽居、和平村、高台村、群兴村、三联村、卜台村、上坪村、木杨村、四合村、大坎村，共计11个村（居）。地理坐标为东经106°58′29″～107°10′16″，北纬27°44′27″～27°51′06"</w:t>
      </w:r>
      <w:r>
        <w:rPr>
          <w:rFonts w:hint="default" w:ascii="Times New Roman" w:hAnsi="Times New Roman" w:eastAsia="宋体" w:cs="Times New Roman"/>
          <w:lang w:eastAsia="zh-CN"/>
        </w:rPr>
        <w:t>。</w:t>
      </w:r>
      <w:r>
        <w:rPr>
          <w:rFonts w:hint="default" w:ascii="Times New Roman" w:hAnsi="Times New Roman" w:eastAsia="宋体" w:cs="Times New Roman"/>
          <w:color w:val="000000"/>
          <w:kern w:val="0"/>
          <w:sz w:val="21"/>
          <w:szCs w:val="21"/>
          <w:lang w:val="en-US" w:eastAsia="zh-CN" w:bidi="ar"/>
        </w:rPr>
        <w:t>保护范围见图 A.1</w:t>
      </w:r>
      <w:r>
        <w:rPr>
          <w:rFonts w:hint="default" w:ascii="Times New Roman" w:hAnsi="Times New Roman" w:cs="Times New Roman"/>
          <w:lang w:eastAsia="zh-CN"/>
        </w:rPr>
        <w:t>。</w:t>
      </w:r>
    </w:p>
    <w:p>
      <w:pPr>
        <w:pStyle w:val="105"/>
        <w:spacing w:before="240" w:after="240"/>
        <w:rPr>
          <w:rFonts w:hint="eastAsia"/>
          <w:lang w:val="en-US" w:eastAsia="zh-CN"/>
        </w:rPr>
      </w:pPr>
      <w:r>
        <w:rPr>
          <w:rFonts w:hint="eastAsia"/>
          <w:lang w:val="en-US" w:eastAsia="zh-CN"/>
        </w:rPr>
        <w:t>自然环境</w:t>
      </w:r>
      <w:bookmarkStart w:id="50" w:name="_GoBack"/>
      <w:bookmarkEnd w:id="50"/>
    </w:p>
    <w:p>
      <w:pPr>
        <w:pStyle w:val="106"/>
        <w:bidi w:val="0"/>
        <w:ind w:left="0" w:leftChars="0" w:firstLine="0" w:firstLineChars="0"/>
        <w:rPr>
          <w:rFonts w:hint="eastAsia"/>
          <w:lang w:val="en-US" w:eastAsia="zh-CN"/>
        </w:rPr>
      </w:pPr>
      <w:r>
        <w:rPr>
          <w:rFonts w:hint="eastAsia"/>
          <w:lang w:val="en-US" w:eastAsia="zh-CN"/>
        </w:rPr>
        <w:t>土壤</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土</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壤主要为黄壤土、石灰土、水稻土、潮土等。土壤pH值6.0～6.5。耕作层厚度65 cm～90 cm。</w:t>
      </w:r>
    </w:p>
    <w:p>
      <w:pPr>
        <w:pStyle w:val="106"/>
        <w:bidi w:val="0"/>
        <w:ind w:left="0" w:leftChars="0" w:firstLine="0" w:firstLineChars="0"/>
        <w:rPr>
          <w:rFonts w:hint="default"/>
          <w:lang w:val="en-US" w:eastAsia="zh-CN"/>
        </w:rPr>
      </w:pPr>
      <w:r>
        <w:rPr>
          <w:rFonts w:hint="default"/>
          <w:lang w:val="en-US" w:eastAsia="zh-CN"/>
        </w:rPr>
        <w:t>气温</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年平均气温15.1℃，年积温为5180℃。</w:t>
      </w:r>
    </w:p>
    <w:p>
      <w:pPr>
        <w:pStyle w:val="106"/>
        <w:bidi w:val="0"/>
        <w:ind w:left="0" w:leftChars="0" w:firstLine="0" w:firstLineChars="0"/>
        <w:rPr>
          <w:rFonts w:hint="default"/>
          <w:lang w:val="en-US" w:eastAsia="zh-CN"/>
        </w:rPr>
      </w:pPr>
      <w:r>
        <w:rPr>
          <w:rFonts w:hint="default"/>
          <w:lang w:val="en-US" w:eastAsia="zh-CN"/>
        </w:rPr>
        <w:t>降水量</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年平均降量为900 mm～1200</w:t>
      </w:r>
      <w:r>
        <w:rPr>
          <w:rFonts w:hint="eastAsia" w:asci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mm。</w:t>
      </w:r>
    </w:p>
    <w:p>
      <w:pPr>
        <w:pStyle w:val="106"/>
        <w:bidi w:val="0"/>
        <w:ind w:left="0" w:leftChars="0" w:firstLine="0" w:firstLineChars="0"/>
        <w:rPr>
          <w:rFonts w:hint="default"/>
          <w:lang w:val="en-US" w:eastAsia="zh-CN"/>
        </w:rPr>
      </w:pPr>
      <w:r>
        <w:rPr>
          <w:rFonts w:hint="default"/>
          <w:lang w:val="en-US" w:eastAsia="zh-CN"/>
        </w:rPr>
        <w:t>日照</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年平均日照时数为1000</w:t>
      </w:r>
      <w:r>
        <w:rPr>
          <w:rFonts w:hint="eastAsia" w:asci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h～1300</w:t>
      </w:r>
      <w:r>
        <w:rPr>
          <w:rFonts w:hint="eastAsia" w:asci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h，平均无霜期为270</w:t>
      </w:r>
      <w:r>
        <w:rPr>
          <w:rFonts w:hint="eastAsia" w:asci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d。</w:t>
      </w:r>
    </w:p>
    <w:p>
      <w:pPr>
        <w:pStyle w:val="106"/>
        <w:bidi w:val="0"/>
        <w:ind w:left="0" w:leftChars="0" w:firstLine="0" w:firstLineChars="0"/>
        <w:rPr>
          <w:rFonts w:hint="default"/>
          <w:lang w:val="en-US" w:eastAsia="zh-CN"/>
        </w:rPr>
      </w:pPr>
      <w:r>
        <w:rPr>
          <w:rFonts w:hint="default"/>
          <w:lang w:val="en-US" w:eastAsia="zh-CN"/>
        </w:rPr>
        <w:t>水质</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地下水</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水质符合 GB 5084 规定。</w:t>
      </w:r>
    </w:p>
    <w:p>
      <w:pPr>
        <w:pStyle w:val="105"/>
        <w:spacing w:before="240" w:after="240"/>
        <w:rPr>
          <w:rFonts w:hint="default"/>
          <w:lang w:val="en-US" w:eastAsia="zh-CN"/>
        </w:rPr>
      </w:pPr>
      <w:r>
        <w:rPr>
          <w:rFonts w:hint="default"/>
          <w:lang w:val="en-US" w:eastAsia="zh-CN"/>
        </w:rPr>
        <w:t>要求</w:t>
      </w:r>
    </w:p>
    <w:p>
      <w:pPr>
        <w:pStyle w:val="106"/>
        <w:bidi w:val="0"/>
        <w:ind w:left="0" w:leftChars="0" w:firstLine="0" w:firstLineChars="0"/>
        <w:rPr>
          <w:rFonts w:hint="default"/>
          <w:lang w:val="en-US" w:eastAsia="zh-CN"/>
        </w:rPr>
      </w:pPr>
      <w:r>
        <w:rPr>
          <w:rFonts w:hint="default"/>
          <w:lang w:val="en-US" w:eastAsia="zh-CN"/>
        </w:rPr>
        <w:t>原料</w:t>
      </w:r>
    </w:p>
    <w:p>
      <w:pPr>
        <w:pStyle w:val="57"/>
        <w:ind w:firstLine="408"/>
        <w:rPr>
          <w:rFonts w:hint="eastAsia" w:asci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稻谷应符合GB/T 17891的要求</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p>
      <w:pPr>
        <w:pStyle w:val="106"/>
        <w:bidi w:val="0"/>
        <w:ind w:left="0" w:leftChars="0" w:firstLine="0" w:firstLineChars="0"/>
        <w:rPr>
          <w:rFonts w:hint="default"/>
          <w:lang w:val="en-US" w:eastAsia="zh-CN"/>
        </w:rPr>
      </w:pPr>
      <w:r>
        <w:rPr>
          <w:rFonts w:hint="default"/>
          <w:lang w:val="en-US" w:eastAsia="zh-CN"/>
        </w:rPr>
        <w:t>加工工艺</w:t>
      </w:r>
    </w:p>
    <w:p>
      <w:pPr>
        <w:pStyle w:val="57"/>
        <w:ind w:firstLine="408"/>
        <w:rPr>
          <w:rFonts w:hint="eastAsia" w:ascii="Times New Roman" w:cs="Times New Roman"/>
          <w:color w:val="FF0000"/>
          <w:kern w:val="2"/>
          <w:sz w:val="21"/>
          <w:szCs w:val="21"/>
          <w:lang w:val="en-US" w:eastAsia="zh-CN" w:bidi="ar-SA"/>
        </w:rPr>
      </w:pPr>
      <w:r>
        <w:rPr>
          <w:rFonts w:hint="eastAsia" w:ascii="Times New Roman" w:cs="Times New Roman"/>
          <w:color w:val="000000" w:themeColor="text1"/>
          <w:kern w:val="2"/>
          <w:sz w:val="21"/>
          <w:szCs w:val="21"/>
          <w:lang w:val="en-US" w:eastAsia="zh-CN" w:bidi="ar-SA"/>
          <w14:textFill>
            <w14:solidFill>
              <w14:schemeClr w14:val="tx1"/>
            </w14:solidFill>
          </w14:textFill>
        </w:rPr>
        <w:t>加工工艺流程分别为</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稻谷</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清理（磁选）</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去石</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砻谷</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谷糙分离</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碾米</w:t>
      </w:r>
      <w:r>
        <w:rPr>
          <w:rFonts w:hint="eastAsia" w:ascii="Times New Roman" w:cs="Times New Roman"/>
          <w:color w:val="000000" w:themeColor="text1"/>
          <w:kern w:val="2"/>
          <w:sz w:val="21"/>
          <w:szCs w:val="21"/>
          <w:lang w:val="en-US" w:eastAsia="zh-CN" w:bidi="ar-SA"/>
          <w14:textFill>
            <w14:solidFill>
              <w14:schemeClr w14:val="tx1"/>
            </w14:solidFill>
          </w14:textFill>
        </w:rPr>
        <w:t>、白</w:t>
      </w:r>
      <w:r>
        <w:rPr>
          <w:rFonts w:hint="default" w:ascii="Times New Roman" w:cs="Times New Roman"/>
          <w:color w:val="000000" w:themeColor="text1"/>
          <w:kern w:val="2"/>
          <w:sz w:val="21"/>
          <w:szCs w:val="21"/>
          <w:lang w:val="en-US" w:eastAsia="zh-CN" w:bidi="ar-SA"/>
          <w14:textFill>
            <w14:solidFill>
              <w14:schemeClr w14:val="tx1"/>
            </w14:solidFill>
          </w14:textFill>
        </w:rPr>
        <w:t>米分级</w:t>
      </w:r>
      <w:r>
        <w:rPr>
          <w:rFonts w:hint="eastAsia" w:ascii="Times New Roman" w:cs="Times New Roman"/>
          <w:color w:val="000000" w:themeColor="text1"/>
          <w:kern w:val="2"/>
          <w:sz w:val="21"/>
          <w:szCs w:val="21"/>
          <w:lang w:val="en-US" w:eastAsia="zh-CN" w:bidi="ar-SA"/>
          <w14:textFill>
            <w14:solidFill>
              <w14:schemeClr w14:val="tx1"/>
            </w14:solidFill>
          </w14:textFill>
        </w:rPr>
        <w:t>、白</w:t>
      </w:r>
      <w:r>
        <w:rPr>
          <w:rFonts w:hint="default" w:ascii="Times New Roman" w:cs="Times New Roman"/>
          <w:color w:val="000000" w:themeColor="text1"/>
          <w:kern w:val="2"/>
          <w:sz w:val="21"/>
          <w:szCs w:val="21"/>
          <w:lang w:val="en-US" w:eastAsia="zh-CN" w:bidi="ar-SA"/>
          <w14:textFill>
            <w14:solidFill>
              <w14:schemeClr w14:val="tx1"/>
            </w14:solidFill>
          </w14:textFill>
        </w:rPr>
        <w:t>米精</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选</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检验</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包装</w:t>
      </w:r>
      <w:r>
        <w:rPr>
          <w:rFonts w:hint="eastAsia" w:ascii="Times New Roman"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入库。</w:t>
      </w:r>
    </w:p>
    <w:p>
      <w:pPr>
        <w:pStyle w:val="106"/>
        <w:bidi w:val="0"/>
        <w:ind w:left="0" w:leftChars="0" w:firstLine="0" w:firstLineChars="0"/>
        <w:rPr>
          <w:rFonts w:hint="default"/>
          <w:lang w:val="en-US" w:eastAsia="zh-CN"/>
        </w:rPr>
      </w:pPr>
      <w:r>
        <w:rPr>
          <w:rFonts w:hint="default"/>
          <w:lang w:val="en-US" w:eastAsia="zh-CN"/>
        </w:rPr>
        <w:t>加工过程中的卫生要求</w:t>
      </w:r>
    </w:p>
    <w:p>
      <w:pPr>
        <w:pStyle w:val="57"/>
        <w:ind w:firstLine="408"/>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稻谷生产过程</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中</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的卫生要求</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应符合GB 14881的规定。</w:t>
      </w:r>
    </w:p>
    <w:p>
      <w:pPr>
        <w:pStyle w:val="106"/>
        <w:bidi w:val="0"/>
        <w:ind w:left="0" w:leftChars="0" w:firstLine="0" w:firstLineChars="0"/>
        <w:rPr>
          <w:rFonts w:hint="default"/>
          <w:lang w:val="en-US" w:eastAsia="zh-CN"/>
        </w:rPr>
      </w:pPr>
      <w:r>
        <w:rPr>
          <w:rFonts w:hint="default"/>
          <w:lang w:val="en-US" w:eastAsia="zh-CN"/>
        </w:rPr>
        <w:t>感官指标</w:t>
      </w:r>
    </w:p>
    <w:p>
      <w:pPr>
        <w:pStyle w:val="57"/>
        <w:ind w:firstLine="4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感官指标应符合表1的规定。</w:t>
      </w:r>
    </w:p>
    <w:p>
      <w:pPr>
        <w:pStyle w:val="113"/>
        <w:spacing w:before="120" w:after="120"/>
        <w:rPr>
          <w:rFonts w:hint="eastAsia" w:ascii="黑体" w:hAnsi="黑体" w:eastAsia="黑体" w:cs="黑体"/>
          <w:color w:val="0000FF"/>
        </w:rPr>
      </w:pPr>
      <w:r>
        <w:rPr>
          <w:rFonts w:hint="eastAsia" w:ascii="黑体" w:hAnsi="黑体" w:eastAsia="黑体" w:cs="黑体"/>
        </w:rPr>
        <w:t>感官</w:t>
      </w:r>
      <w:r>
        <w:rPr>
          <w:rFonts w:hint="eastAsia" w:ascii="黑体" w:hAnsi="黑体" w:eastAsia="黑体" w:cs="黑体"/>
          <w:lang w:val="en-US" w:eastAsia="zh-CN"/>
        </w:rPr>
        <w:t>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1"/>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91"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项目</w:t>
            </w:r>
          </w:p>
        </w:tc>
        <w:tc>
          <w:tcPr>
            <w:tcW w:w="5815"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491"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形态</w:t>
            </w:r>
          </w:p>
        </w:tc>
        <w:tc>
          <w:tcPr>
            <w:tcW w:w="5815"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颗粒均匀、饱满，形状为长粒型，横断面呈扁圆形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91"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色泽</w:t>
            </w:r>
          </w:p>
        </w:tc>
        <w:tc>
          <w:tcPr>
            <w:tcW w:w="5815" w:type="dxa"/>
          </w:tcPr>
          <w:p>
            <w:pPr>
              <w:jc w:val="center"/>
              <w:rPr>
                <w:rFonts w:hint="default"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kern w:val="2"/>
                <w:sz w:val="18"/>
                <w:szCs w:val="21"/>
                <w:lang w:val="en-US" w:eastAsia="zh-CN" w:bidi="ar-SA"/>
              </w:rPr>
              <w:t>米粒晶莹玉白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91"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气味</w:t>
            </w:r>
          </w:p>
        </w:tc>
        <w:tc>
          <w:tcPr>
            <w:tcW w:w="5815"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具有固有的自然清香，无异味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91"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口感</w:t>
            </w:r>
          </w:p>
        </w:tc>
        <w:tc>
          <w:tcPr>
            <w:tcW w:w="5815"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饭粒油亮，香醇绵甜，蒸煮后粘性较小，米质较脆</w:t>
            </w:r>
          </w:p>
        </w:tc>
      </w:tr>
    </w:tbl>
    <w:p>
      <w:pPr>
        <w:pStyle w:val="106"/>
        <w:bidi w:val="0"/>
        <w:ind w:left="0" w:leftChars="0" w:firstLine="0" w:firstLineChars="0"/>
        <w:rPr>
          <w:rFonts w:hint="default"/>
          <w:lang w:val="en-US" w:eastAsia="zh-CN"/>
        </w:rPr>
      </w:pPr>
      <w:r>
        <w:rPr>
          <w:rFonts w:hint="default"/>
          <w:lang w:val="en-US" w:eastAsia="zh-CN"/>
        </w:rPr>
        <w:t>理化指标</w:t>
      </w:r>
    </w:p>
    <w:p>
      <w:pPr>
        <w:pStyle w:val="57"/>
        <w:ind w:firstLine="420"/>
        <w:rPr>
          <w:rFonts w:hint="default" w:ascii="Times New Roman" w:hAnsi="Times New Roman" w:eastAsia="宋体" w:cs="Times New Roman"/>
          <w:szCs w:val="21"/>
        </w:rPr>
      </w:pPr>
      <w:r>
        <w:rPr>
          <w:rFonts w:hint="default" w:ascii="Times New Roman" w:hAnsi="Times New Roman" w:cs="Times New Roman"/>
          <w:lang w:val="en-US" w:eastAsia="zh-CN"/>
        </w:rPr>
        <w:t>理化</w:t>
      </w:r>
      <w:r>
        <w:rPr>
          <w:rFonts w:hint="default" w:ascii="Times New Roman" w:hAnsi="Times New Roman" w:eastAsia="宋体" w:cs="Times New Roman"/>
          <w:lang w:val="en-US" w:eastAsia="zh-CN"/>
        </w:rPr>
        <w:t>指标</w:t>
      </w:r>
      <w:r>
        <w:rPr>
          <w:rFonts w:hint="default" w:ascii="Times New Roman" w:hAnsi="Times New Roman" w:eastAsia="宋体" w:cs="Times New Roman"/>
        </w:rPr>
        <w:t>应符合表2的规定。</w:t>
      </w:r>
    </w:p>
    <w:p>
      <w:pPr>
        <w:pStyle w:val="113"/>
        <w:spacing w:before="120" w:after="120"/>
        <w:rPr>
          <w:rFonts w:hint="default" w:ascii="Times New Roman" w:hAnsi="Times New Roman" w:cs="Times New Roman"/>
        </w:rPr>
      </w:pPr>
      <w:r>
        <w:rPr>
          <w:rFonts w:hint="default" w:ascii="Times New Roman" w:hAnsi="Times New Roman" w:cs="Times New Roman"/>
          <w:lang w:val="en-US" w:eastAsia="zh-CN"/>
        </w:rPr>
        <w:t>理化</w:t>
      </w:r>
      <w:r>
        <w:rPr>
          <w:rFonts w:hint="default" w:ascii="Times New Roman" w:hAnsi="Times New Roman" w:cs="Times New Roman"/>
        </w:rPr>
        <w:t>指标</w:t>
      </w:r>
    </w:p>
    <w:tbl>
      <w:tblPr>
        <w:tblStyle w:val="235"/>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8"/>
        <w:gridCol w:w="2342"/>
        <w:gridCol w:w="1560"/>
        <w:gridCol w:w="1558"/>
        <w:gridCol w:w="1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69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rPr>
            </w:pPr>
            <w:r>
              <w:rPr>
                <w:rFonts w:hint="default" w:ascii="Times New Roman" w:hAnsi="Times New Roman" w:eastAsia="宋体" w:cs="Times New Roman"/>
                <w:sz w:val="18"/>
              </w:rPr>
              <w:t>项目</w:t>
            </w:r>
          </w:p>
        </w:tc>
        <w:tc>
          <w:tcPr>
            <w:tcW w:w="469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rPr>
            </w:pPr>
            <w:r>
              <w:rPr>
                <w:rFonts w:hint="default" w:ascii="Times New Roman" w:hAnsi="Times New Roman" w:eastAsia="宋体" w:cs="Times New Roman"/>
                <w:sz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69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1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rPr>
            </w:pPr>
            <w:r>
              <w:rPr>
                <w:rFonts w:hint="default" w:ascii="Times New Roman" w:hAnsi="Times New Roman" w:eastAsia="宋体" w:cs="Times New Roman"/>
                <w:sz w:val="18"/>
              </w:rPr>
              <w:t>一级</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rPr>
            </w:pPr>
            <w:r>
              <w:rPr>
                <w:rFonts w:hint="default" w:ascii="Times New Roman" w:hAnsi="Times New Roman" w:eastAsia="宋体" w:cs="Times New Roman"/>
                <w:sz w:val="18"/>
              </w:rPr>
              <w:t>二级</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rPr>
            </w:pPr>
            <w:r>
              <w:rPr>
                <w:rFonts w:hint="default" w:ascii="Times New Roman" w:hAnsi="Times New Roman" w:eastAsia="宋体" w:cs="Times New Roman"/>
                <w:sz w:val="18"/>
              </w:rPr>
              <w:t>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09" w:line="219" w:lineRule="auto"/>
              <w:ind w:left="282"/>
              <w:jc w:val="left"/>
              <w:rPr>
                <w:rFonts w:hint="default" w:ascii="Times New Roman" w:hAnsi="Times New Roman" w:cs="Times New Roman"/>
                <w:sz w:val="18"/>
                <w:szCs w:val="18"/>
              </w:rPr>
            </w:pPr>
            <w:r>
              <w:rPr>
                <w:rFonts w:hint="default" w:ascii="Times New Roman" w:hAnsi="Times New Roman" w:cs="Times New Roman"/>
                <w:spacing w:val="4"/>
                <w:sz w:val="18"/>
                <w:szCs w:val="18"/>
              </w:rPr>
              <w:t>加工精度/（%）</w:t>
            </w:r>
            <w:r>
              <w:rPr>
                <w:rFonts w:hint="default" w:ascii="Times New Roman" w:hAnsi="Times New Roman" w:cs="Times New Roman"/>
                <w:spacing w:val="1"/>
                <w:sz w:val="18"/>
                <w:szCs w:val="18"/>
              </w:rPr>
              <w:t xml:space="preserve">                            </w:t>
            </w:r>
          </w:p>
        </w:tc>
        <w:tc>
          <w:tcPr>
            <w:tcW w:w="1560" w:type="dxa"/>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697"/>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精碾</w:t>
            </w:r>
          </w:p>
        </w:tc>
        <w:tc>
          <w:tcPr>
            <w:tcW w:w="1558" w:type="dxa"/>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699"/>
              <w:jc w:val="both"/>
              <w:rPr>
                <w:rFonts w:hint="default" w:ascii="Times New Roman" w:hAnsi="Times New Roman" w:cs="Times New Roman"/>
                <w:sz w:val="18"/>
                <w:szCs w:val="18"/>
              </w:rPr>
            </w:pPr>
            <w:r>
              <w:rPr>
                <w:rFonts w:hint="default" w:ascii="Times New Roman" w:hAnsi="Times New Roman" w:cs="Times New Roman"/>
                <w:sz w:val="18"/>
                <w:szCs w:val="18"/>
                <w:lang w:val="en-US" w:eastAsia="zh-CN"/>
              </w:rPr>
              <w:t>精碾</w:t>
            </w:r>
          </w:p>
        </w:tc>
        <w:tc>
          <w:tcPr>
            <w:tcW w:w="1572" w:type="dxa"/>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702"/>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适碾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16" w:line="220" w:lineRule="auto"/>
              <w:ind w:left="285"/>
              <w:jc w:val="left"/>
              <w:rPr>
                <w:rFonts w:hint="default" w:ascii="Times New Roman" w:hAnsi="Times New Roman" w:cs="Times New Roman"/>
                <w:sz w:val="18"/>
                <w:szCs w:val="18"/>
              </w:rPr>
            </w:pPr>
            <w:r>
              <w:rPr>
                <w:rFonts w:hint="default" w:ascii="Times New Roman" w:hAnsi="Times New Roman" w:cs="Times New Roman"/>
                <w:spacing w:val="4"/>
                <w:sz w:val="18"/>
                <w:szCs w:val="18"/>
              </w:rPr>
              <w:t>不完善粒/（%）</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 xml:space="preserve">        </w:t>
            </w:r>
            <w:r>
              <w:rPr>
                <w:rFonts w:hint="default" w:ascii="Times New Roman" w:hAnsi="Times New Roman" w:cs="Times New Roman"/>
                <w:spacing w:val="4"/>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697"/>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2.5</w:t>
            </w:r>
          </w:p>
        </w:tc>
        <w:tc>
          <w:tcPr>
            <w:tcW w:w="313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697" w:firstLine="720" w:firstLineChars="400"/>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16" w:line="220" w:lineRule="auto"/>
              <w:ind w:left="285"/>
              <w:jc w:val="left"/>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 xml:space="preserve">垩白度/（%）                             </w:t>
            </w:r>
            <w:r>
              <w:rPr>
                <w:rFonts w:hint="default" w:ascii="Times New Roman" w:hAnsi="Times New Roman" w:cs="Times New Roman"/>
                <w:spacing w:val="4"/>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697"/>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w:t>
            </w:r>
          </w:p>
        </w:tc>
        <w:tc>
          <w:tcPr>
            <w:tcW w:w="313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40" w:line="181" w:lineRule="auto"/>
              <w:ind w:left="697" w:firstLine="720" w:firstLineChars="400"/>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16" w:line="220" w:lineRule="auto"/>
              <w:ind w:left="285"/>
              <w:jc w:val="left"/>
              <w:rPr>
                <w:rFonts w:hint="default" w:ascii="Times New Roman" w:hAnsi="Times New Roman" w:cs="Times New Roman"/>
                <w:spacing w:val="4"/>
                <w:sz w:val="18"/>
                <w:szCs w:val="18"/>
              </w:rPr>
            </w:pPr>
            <w:r>
              <w:rPr>
                <w:rFonts w:hint="default" w:ascii="Times New Roman" w:hAnsi="Times New Roman" w:cs="Times New Roman"/>
                <w:spacing w:val="4"/>
                <w:sz w:val="18"/>
                <w:szCs w:val="18"/>
              </w:rPr>
              <w:t xml:space="preserve">碎米/（%）                             </w:t>
            </w:r>
            <w:r>
              <w:rPr>
                <w:rFonts w:hint="default" w:ascii="Times New Roman" w:hAnsi="Times New Roman" w:cs="Times New Roman"/>
                <w:spacing w:val="4"/>
                <w:sz w:val="18"/>
                <w:szCs w:val="18"/>
                <w:lang w:val="en-US" w:eastAsia="zh-CN"/>
              </w:rPr>
              <w:t xml:space="preserve">  </w:t>
            </w:r>
            <w:r>
              <w:rPr>
                <w:rFonts w:hint="default" w:ascii="Times New Roman" w:hAnsi="Times New Roman" w:cs="Times New Roman"/>
                <w:spacing w:val="3"/>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6"/>
              <w:spacing w:before="146" w:line="182" w:lineRule="auto"/>
              <w:ind w:left="664"/>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15</w:t>
            </w:r>
          </w:p>
        </w:tc>
        <w:tc>
          <w:tcPr>
            <w:tcW w:w="1558" w:type="dxa"/>
            <w:tcBorders>
              <w:top w:val="single" w:color="auto" w:sz="4" w:space="0"/>
              <w:left w:val="single" w:color="auto" w:sz="4" w:space="0"/>
              <w:bottom w:val="single" w:color="auto" w:sz="4" w:space="0"/>
              <w:right w:val="single" w:color="auto" w:sz="4" w:space="0"/>
            </w:tcBorders>
            <w:vAlign w:val="center"/>
          </w:tcPr>
          <w:p>
            <w:pPr>
              <w:pStyle w:val="236"/>
              <w:spacing w:before="147" w:line="181" w:lineRule="auto"/>
              <w:ind w:left="655"/>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w:t>
            </w:r>
          </w:p>
        </w:tc>
        <w:tc>
          <w:tcPr>
            <w:tcW w:w="1572" w:type="dxa"/>
            <w:tcBorders>
              <w:top w:val="single" w:color="auto" w:sz="4" w:space="0"/>
              <w:left w:val="single" w:color="auto" w:sz="4" w:space="0"/>
              <w:bottom w:val="single" w:color="auto" w:sz="4" w:space="0"/>
              <w:right w:val="single" w:color="auto" w:sz="4" w:space="0"/>
            </w:tcBorders>
            <w:vAlign w:val="center"/>
          </w:tcPr>
          <w:p>
            <w:pPr>
              <w:pStyle w:val="236"/>
              <w:spacing w:before="147" w:line="181" w:lineRule="auto"/>
              <w:ind w:left="659"/>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48" w:type="dxa"/>
            <w:vMerge w:val="restart"/>
            <w:tcBorders>
              <w:top w:val="single" w:color="auto" w:sz="4" w:space="0"/>
              <w:left w:val="single" w:color="auto" w:sz="4" w:space="0"/>
              <w:bottom w:val="single" w:color="auto" w:sz="4" w:space="0"/>
              <w:right w:val="single" w:color="auto" w:sz="4" w:space="0"/>
            </w:tcBorders>
            <w:vAlign w:val="center"/>
          </w:tcPr>
          <w:p>
            <w:pPr>
              <w:pStyle w:val="236"/>
              <w:spacing w:before="58" w:line="220" w:lineRule="auto"/>
              <w:ind w:left="284"/>
              <w:jc w:val="left"/>
              <w:rPr>
                <w:rFonts w:hint="default" w:ascii="Times New Roman" w:hAnsi="Times New Roman" w:cs="Times New Roman"/>
                <w:sz w:val="18"/>
                <w:szCs w:val="18"/>
              </w:rPr>
            </w:pPr>
            <w:r>
              <w:rPr>
                <w:rFonts w:hint="default" w:ascii="Times New Roman" w:hAnsi="Times New Roman" w:cs="Times New Roman"/>
                <w:spacing w:val="6"/>
                <w:sz w:val="18"/>
                <w:szCs w:val="18"/>
              </w:rPr>
              <w:t>杂质/（%）</w:t>
            </w:r>
          </w:p>
        </w:tc>
        <w:tc>
          <w:tcPr>
            <w:tcW w:w="2342" w:type="dxa"/>
            <w:tcBorders>
              <w:top w:val="single" w:color="auto" w:sz="4" w:space="0"/>
              <w:left w:val="single" w:color="auto" w:sz="4" w:space="0"/>
              <w:bottom w:val="single" w:color="auto" w:sz="4" w:space="0"/>
              <w:right w:val="single" w:color="auto" w:sz="4" w:space="0"/>
            </w:tcBorders>
            <w:vAlign w:val="center"/>
          </w:tcPr>
          <w:p>
            <w:pPr>
              <w:pStyle w:val="236"/>
              <w:spacing w:before="122" w:line="225" w:lineRule="auto"/>
              <w:ind w:left="10"/>
              <w:jc w:val="left"/>
              <w:rPr>
                <w:rFonts w:hint="default" w:ascii="Times New Roman" w:hAnsi="Times New Roman" w:cs="Times New Roman"/>
                <w:sz w:val="18"/>
                <w:szCs w:val="18"/>
              </w:rPr>
            </w:pPr>
            <w:r>
              <w:rPr>
                <w:rFonts w:hint="default" w:ascii="Times New Roman" w:hAnsi="Times New Roman" w:cs="Times New Roman"/>
                <w:spacing w:val="-4"/>
                <w:sz w:val="18"/>
                <w:szCs w:val="18"/>
              </w:rPr>
              <w:t>总量</w:t>
            </w:r>
            <w:r>
              <w:rPr>
                <w:rFonts w:hint="default" w:ascii="Times New Roman" w:hAnsi="Times New Roman" w:cs="Times New Roman"/>
                <w:spacing w:val="1"/>
                <w:sz w:val="18"/>
                <w:szCs w:val="18"/>
              </w:rPr>
              <w:t xml:space="preserve">              </w:t>
            </w:r>
            <w:r>
              <w:rPr>
                <w:rFonts w:hint="default" w:ascii="Times New Roman" w:hAnsi="Times New Roman" w:cs="Times New Roman"/>
                <w:spacing w:val="1"/>
                <w:sz w:val="18"/>
                <w:szCs w:val="18"/>
                <w:lang w:val="en-US" w:eastAsia="zh-CN"/>
              </w:rPr>
              <w:t xml:space="preserve"> </w:t>
            </w:r>
            <w:r>
              <w:rPr>
                <w:rFonts w:hint="default" w:ascii="Times New Roman" w:hAnsi="Times New Roman" w:cs="Times New Roman"/>
                <w:spacing w:val="1"/>
                <w:sz w:val="18"/>
                <w:szCs w:val="18"/>
              </w:rPr>
              <w:t xml:space="preserve">  </w:t>
            </w:r>
            <w:r>
              <w:rPr>
                <w:rFonts w:hint="default" w:ascii="Times New Roman" w:hAnsi="Times New Roman" w:cs="Times New Roman"/>
                <w:spacing w:val="-4"/>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6"/>
              <w:spacing w:before="152" w:line="181" w:lineRule="auto"/>
              <w:ind w:left="65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0.1</w:t>
            </w:r>
          </w:p>
        </w:tc>
        <w:tc>
          <w:tcPr>
            <w:tcW w:w="313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51" w:line="182" w:lineRule="auto"/>
              <w:ind w:firstLine="1440" w:firstLineChars="800"/>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4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8"/>
                <w:szCs w:val="18"/>
              </w:rPr>
            </w:pPr>
          </w:p>
        </w:tc>
        <w:tc>
          <w:tcPr>
            <w:tcW w:w="2342" w:type="dxa"/>
            <w:tcBorders>
              <w:top w:val="single" w:color="auto" w:sz="4" w:space="0"/>
              <w:left w:val="single" w:color="auto" w:sz="4" w:space="0"/>
              <w:bottom w:val="single" w:color="auto" w:sz="4" w:space="0"/>
              <w:right w:val="single" w:color="auto" w:sz="4" w:space="0"/>
            </w:tcBorders>
            <w:vAlign w:val="center"/>
          </w:tcPr>
          <w:p>
            <w:pPr>
              <w:pStyle w:val="236"/>
              <w:spacing w:before="120" w:line="219" w:lineRule="auto"/>
              <w:ind w:left="11"/>
              <w:jc w:val="lef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 xml:space="preserve">其中：无机杂质含量/%  </w:t>
            </w:r>
            <w:r>
              <w:rPr>
                <w:rFonts w:hint="default" w:ascii="Times New Roman" w:hAnsi="Times New Roman" w:cs="Times New Roman"/>
                <w:spacing w:val="-4"/>
                <w:sz w:val="18"/>
                <w:szCs w:val="18"/>
              </w:rPr>
              <w:t>≤</w:t>
            </w:r>
          </w:p>
        </w:tc>
        <w:tc>
          <w:tcPr>
            <w:tcW w:w="4690" w:type="dxa"/>
            <w:gridSpan w:val="3"/>
            <w:tcBorders>
              <w:top w:val="single" w:color="auto" w:sz="4" w:space="0"/>
              <w:left w:val="single" w:color="auto" w:sz="4" w:space="0"/>
              <w:bottom w:val="single" w:color="auto" w:sz="4" w:space="0"/>
              <w:right w:val="single" w:color="auto" w:sz="4" w:space="0"/>
            </w:tcBorders>
            <w:vAlign w:val="center"/>
          </w:tcPr>
          <w:p>
            <w:pPr>
              <w:pStyle w:val="236"/>
              <w:spacing w:before="151" w:line="181" w:lineRule="auto"/>
              <w:ind w:left="657" w:firstLine="1620" w:firstLineChars="900"/>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24" w:line="220" w:lineRule="auto"/>
              <w:ind w:left="285"/>
              <w:jc w:val="left"/>
              <w:rPr>
                <w:rFonts w:hint="default" w:ascii="Times New Roman" w:hAnsi="Times New Roman" w:cs="Times New Roman"/>
                <w:sz w:val="18"/>
                <w:szCs w:val="18"/>
              </w:rPr>
            </w:pPr>
            <w:r>
              <w:rPr>
                <w:rFonts w:hint="default" w:ascii="Times New Roman" w:hAnsi="Times New Roman" w:cs="Times New Roman"/>
                <w:spacing w:val="4"/>
                <w:sz w:val="18"/>
                <w:szCs w:val="18"/>
              </w:rPr>
              <w:t xml:space="preserve">水分/（%）                          </w:t>
            </w:r>
            <w:r>
              <w:rPr>
                <w:rFonts w:hint="default" w:ascii="Times New Roman" w:hAnsi="Times New Roman" w:cs="Times New Roman"/>
                <w:spacing w:val="3"/>
                <w:sz w:val="18"/>
                <w:szCs w:val="18"/>
              </w:rPr>
              <w:t xml:space="preserve">     ≤</w:t>
            </w:r>
          </w:p>
        </w:tc>
        <w:tc>
          <w:tcPr>
            <w:tcW w:w="4690" w:type="dxa"/>
            <w:gridSpan w:val="3"/>
            <w:tcBorders>
              <w:top w:val="single" w:color="auto" w:sz="4" w:space="0"/>
              <w:left w:val="single" w:color="auto" w:sz="4" w:space="0"/>
              <w:bottom w:val="single" w:color="auto" w:sz="4" w:space="0"/>
              <w:right w:val="single" w:color="auto" w:sz="4" w:space="0"/>
            </w:tcBorders>
            <w:vAlign w:val="center"/>
          </w:tcPr>
          <w:p>
            <w:pPr>
              <w:pStyle w:val="236"/>
              <w:spacing w:before="151" w:line="181" w:lineRule="auto"/>
              <w:ind w:left="652" w:firstLine="1620" w:firstLineChars="900"/>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24" w:line="220" w:lineRule="auto"/>
              <w:ind w:left="285"/>
              <w:jc w:val="left"/>
              <w:rPr>
                <w:rFonts w:hint="default" w:ascii="Times New Roman" w:hAnsi="Times New Roman" w:cs="Times New Roman"/>
                <w:spacing w:val="4"/>
                <w:sz w:val="18"/>
                <w:szCs w:val="18"/>
                <w:lang w:val="en-US" w:eastAsia="zh-CN"/>
              </w:rPr>
            </w:pPr>
            <w:r>
              <w:rPr>
                <w:rFonts w:hint="default" w:ascii="Times New Roman" w:hAnsi="Times New Roman" w:cs="Times New Roman"/>
                <w:spacing w:val="4"/>
                <w:sz w:val="18"/>
                <w:szCs w:val="18"/>
                <w:lang w:val="en-US" w:eastAsia="zh-CN"/>
              </w:rPr>
              <w:t xml:space="preserve">互混率/%                                </w:t>
            </w:r>
            <w:r>
              <w:rPr>
                <w:rFonts w:hint="default" w:ascii="Times New Roman" w:hAnsi="Times New Roman" w:cs="Times New Roman"/>
                <w:spacing w:val="4"/>
                <w:sz w:val="18"/>
                <w:szCs w:val="18"/>
              </w:rPr>
              <w:t xml:space="preserve"> ≤</w:t>
            </w:r>
          </w:p>
        </w:tc>
        <w:tc>
          <w:tcPr>
            <w:tcW w:w="4690" w:type="dxa"/>
            <w:gridSpan w:val="3"/>
            <w:tcBorders>
              <w:top w:val="single" w:color="auto" w:sz="4" w:space="0"/>
              <w:left w:val="single" w:color="auto" w:sz="4" w:space="0"/>
              <w:bottom w:val="single" w:color="auto" w:sz="4" w:space="0"/>
              <w:right w:val="single" w:color="auto" w:sz="4" w:space="0"/>
            </w:tcBorders>
            <w:vAlign w:val="center"/>
          </w:tcPr>
          <w:p>
            <w:pPr>
              <w:pStyle w:val="236"/>
              <w:spacing w:before="124" w:line="220" w:lineRule="auto"/>
              <w:ind w:left="285"/>
              <w:jc w:val="center"/>
              <w:rPr>
                <w:rFonts w:hint="default" w:ascii="Times New Roman" w:hAnsi="Times New Roman" w:cs="Times New Roman"/>
                <w:spacing w:val="4"/>
                <w:sz w:val="18"/>
                <w:szCs w:val="18"/>
                <w:lang w:val="en-US" w:eastAsia="zh-CN"/>
              </w:rPr>
            </w:pPr>
            <w:r>
              <w:rPr>
                <w:rFonts w:hint="default" w:ascii="Times New Roman" w:hAnsi="Times New Roman" w:cs="Times New Roman"/>
                <w:spacing w:val="4"/>
                <w:sz w:val="18"/>
                <w:szCs w:val="18"/>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pStyle w:val="236"/>
              <w:spacing w:before="124" w:line="220" w:lineRule="auto"/>
              <w:ind w:left="285"/>
              <w:jc w:val="left"/>
              <w:rPr>
                <w:rFonts w:hint="default" w:ascii="Times New Roman" w:hAnsi="Times New Roman" w:cs="Times New Roman"/>
                <w:spacing w:val="4"/>
                <w:sz w:val="18"/>
                <w:szCs w:val="18"/>
                <w:lang w:val="en-US" w:eastAsia="zh-CN"/>
              </w:rPr>
            </w:pPr>
            <w:r>
              <w:rPr>
                <w:rFonts w:hint="default" w:ascii="Times New Roman" w:hAnsi="Times New Roman" w:cs="Times New Roman"/>
                <w:spacing w:val="4"/>
                <w:sz w:val="18"/>
                <w:szCs w:val="18"/>
                <w:lang w:val="en-US" w:eastAsia="zh-CN"/>
              </w:rPr>
              <w:t>直链淀粉含量/%</w:t>
            </w:r>
          </w:p>
        </w:tc>
        <w:tc>
          <w:tcPr>
            <w:tcW w:w="4690" w:type="dxa"/>
            <w:gridSpan w:val="3"/>
            <w:tcBorders>
              <w:top w:val="single" w:color="auto" w:sz="4" w:space="0"/>
              <w:left w:val="single" w:color="auto" w:sz="4" w:space="0"/>
              <w:bottom w:val="single" w:color="auto" w:sz="4" w:space="0"/>
              <w:right w:val="single" w:color="auto" w:sz="4" w:space="0"/>
            </w:tcBorders>
            <w:vAlign w:val="center"/>
          </w:tcPr>
          <w:p>
            <w:pPr>
              <w:pStyle w:val="236"/>
              <w:spacing w:before="124" w:line="220" w:lineRule="auto"/>
              <w:ind w:left="285"/>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14.0～18.0</w:t>
            </w:r>
          </w:p>
        </w:tc>
      </w:tr>
    </w:tbl>
    <w:p>
      <w:pPr>
        <w:pStyle w:val="106"/>
        <w:bidi w:val="0"/>
        <w:ind w:left="0" w:leftChars="0" w:firstLine="0" w:firstLineChars="0"/>
        <w:rPr>
          <w:rFonts w:hint="default"/>
          <w:lang w:val="en-US" w:eastAsia="zh-CN"/>
        </w:rPr>
      </w:pPr>
      <w:r>
        <w:rPr>
          <w:rFonts w:hint="default"/>
          <w:lang w:val="en-US" w:eastAsia="zh-CN"/>
        </w:rPr>
        <w:t>安全指标</w:t>
      </w:r>
    </w:p>
    <w:p>
      <w:pPr>
        <w:keepNext w:val="0"/>
        <w:keepLines w:val="0"/>
        <w:widowControl/>
        <w:suppressLineNumbers w:val="0"/>
        <w:ind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应符合</w:t>
      </w:r>
      <w:r>
        <w:rPr>
          <w:rFonts w:hint="default" w:ascii="Times New Roman" w:hAnsi="Times New Roman" w:eastAsia="宋体" w:cs="Times New Roman"/>
          <w:kern w:val="0"/>
          <w:sz w:val="21"/>
          <w:szCs w:val="20"/>
          <w:lang w:val="en-US" w:eastAsia="zh-CN" w:bidi="ar-SA"/>
        </w:rPr>
        <w:t>GB</w:t>
      </w:r>
      <w:r>
        <w:rPr>
          <w:rFonts w:hint="default" w:ascii="Times New Roman" w:hAnsi="Times New Roman" w:eastAsia="宋体" w:cs="Times New Roman"/>
          <w:kern w:val="2"/>
          <w:sz w:val="21"/>
          <w:szCs w:val="21"/>
          <w:lang w:val="en-US" w:eastAsia="zh-CN" w:bidi="ar-SA"/>
        </w:rPr>
        <w:t xml:space="preserve"> 2715的要求。</w:t>
      </w:r>
    </w:p>
    <w:p>
      <w:pPr>
        <w:pStyle w:val="106"/>
        <w:bidi w:val="0"/>
        <w:ind w:left="0" w:leftChars="0" w:firstLine="0" w:firstLineChars="0"/>
        <w:rPr>
          <w:rFonts w:hint="default"/>
          <w:lang w:val="en-US" w:eastAsia="zh-CN"/>
        </w:rPr>
      </w:pPr>
      <w:r>
        <w:rPr>
          <w:rFonts w:hint="eastAsia"/>
          <w:lang w:val="en-US" w:eastAsia="zh-CN"/>
        </w:rPr>
        <w:t>净含量</w:t>
      </w:r>
    </w:p>
    <w:p>
      <w:pPr>
        <w:pStyle w:val="57"/>
        <w:rPr>
          <w:rFonts w:hint="default"/>
          <w:lang w:val="en-US" w:eastAsia="zh-CN"/>
        </w:rPr>
      </w:pPr>
      <w:r>
        <w:rPr>
          <w:rFonts w:hint="eastAsia"/>
          <w:lang w:val="en-US" w:eastAsia="zh-CN"/>
        </w:rPr>
        <w:t>应符合</w:t>
      </w:r>
      <w:r>
        <w:rPr>
          <w:rFonts w:hint="eastAsia" w:ascii="Times New Roman" w:hAnsi="Times New Roman" w:eastAsia="宋体" w:cs="Times New Roman"/>
          <w:kern w:val="0"/>
          <w:sz w:val="21"/>
          <w:szCs w:val="20"/>
          <w:lang w:val="en-US" w:eastAsia="zh-CN" w:bidi="ar-SA"/>
        </w:rPr>
        <w:t xml:space="preserve">JJF </w:t>
      </w:r>
      <w:r>
        <w:rPr>
          <w:rFonts w:hint="eastAsia" w:ascii="Times New Roman" w:cs="Times New Roman"/>
          <w:kern w:val="0"/>
          <w:sz w:val="21"/>
          <w:szCs w:val="20"/>
          <w:lang w:val="en-US" w:eastAsia="zh-CN" w:bidi="ar-SA"/>
        </w:rPr>
        <w:t>1070的规定执行。</w:t>
      </w:r>
    </w:p>
    <w:p>
      <w:pPr>
        <w:pStyle w:val="105"/>
        <w:spacing w:before="240" w:after="240"/>
        <w:rPr>
          <w:rFonts w:hint="default"/>
          <w:lang w:val="en-US" w:eastAsia="zh-CN"/>
        </w:rPr>
      </w:pPr>
      <w:r>
        <w:rPr>
          <w:rFonts w:hint="default"/>
          <w:lang w:val="en-US" w:eastAsia="zh-CN"/>
        </w:rPr>
        <w:t>检验方法</w:t>
      </w:r>
    </w:p>
    <w:p>
      <w:pPr>
        <w:pStyle w:val="106"/>
        <w:bidi w:val="0"/>
        <w:ind w:left="0" w:leftChars="0" w:firstLine="0" w:firstLineChars="0"/>
        <w:rPr>
          <w:rFonts w:hint="default"/>
          <w:lang w:val="en-US" w:eastAsia="zh-CN"/>
        </w:rPr>
      </w:pPr>
      <w:r>
        <w:rPr>
          <w:rFonts w:hint="default"/>
          <w:lang w:val="en-US" w:eastAsia="zh-CN"/>
        </w:rPr>
        <w:t>形态</w:t>
      </w:r>
    </w:p>
    <w:p>
      <w:pPr>
        <w:pStyle w:val="57"/>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应</w:t>
      </w:r>
      <w:r>
        <w:rPr>
          <w:rFonts w:hint="default" w:ascii="Times New Roman" w:hAnsi="Times New Roman" w:eastAsia="宋体" w:cs="Times New Roman"/>
          <w:kern w:val="2"/>
          <w:sz w:val="21"/>
          <w:szCs w:val="21"/>
          <w:lang w:val="en-US" w:eastAsia="zh-CN" w:bidi="ar-SA"/>
        </w:rPr>
        <w:t>将样品置于洁净的盘中目测，</w:t>
      </w:r>
      <w:r>
        <w:rPr>
          <w:rFonts w:hint="default" w:ascii="Times New Roman" w:hAnsi="Times New Roman" w:cs="Times New Roman"/>
          <w:kern w:val="2"/>
          <w:sz w:val="21"/>
          <w:szCs w:val="21"/>
          <w:lang w:val="en-US" w:eastAsia="zh-CN" w:bidi="ar-SA"/>
        </w:rPr>
        <w:t>目测检查其形态。</w:t>
      </w:r>
    </w:p>
    <w:p>
      <w:pPr>
        <w:pStyle w:val="106"/>
        <w:bidi w:val="0"/>
        <w:ind w:left="0" w:leftChars="0" w:firstLine="0" w:firstLineChars="0"/>
        <w:rPr>
          <w:rFonts w:hint="default"/>
          <w:lang w:val="en-US" w:eastAsia="zh-CN"/>
        </w:rPr>
      </w:pPr>
      <w:r>
        <w:rPr>
          <w:rFonts w:hint="default"/>
          <w:lang w:val="en-US" w:eastAsia="zh-CN"/>
        </w:rPr>
        <w:t>色泽、气味</w:t>
      </w:r>
      <w:r>
        <w:rPr>
          <w:rFonts w:hint="eastAsia"/>
          <w:lang w:val="en-US" w:eastAsia="zh-CN"/>
        </w:rPr>
        <w:t>、口感</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应按 GB/T 5492 规定的方法执行。</w:t>
      </w:r>
    </w:p>
    <w:p>
      <w:pPr>
        <w:pStyle w:val="106"/>
        <w:bidi w:val="0"/>
        <w:ind w:left="0" w:leftChars="0" w:firstLine="0" w:firstLineChars="0"/>
        <w:rPr>
          <w:rFonts w:hint="default"/>
          <w:lang w:val="en-US" w:eastAsia="zh-CN"/>
        </w:rPr>
      </w:pPr>
      <w:r>
        <w:rPr>
          <w:rFonts w:hint="default"/>
          <w:lang w:val="en-US" w:eastAsia="zh-CN"/>
        </w:rPr>
        <w:t>加工精度</w:t>
      </w:r>
    </w:p>
    <w:p>
      <w:pPr>
        <w:pStyle w:val="57"/>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应按GB/T 5502 规定的方法执行。</w:t>
      </w:r>
    </w:p>
    <w:p>
      <w:pPr>
        <w:pStyle w:val="106"/>
        <w:bidi w:val="0"/>
        <w:ind w:left="0" w:leftChars="0" w:firstLine="0" w:firstLineChars="0"/>
        <w:rPr>
          <w:rFonts w:hint="default"/>
          <w:lang w:val="en-US" w:eastAsia="zh-CN"/>
        </w:rPr>
      </w:pPr>
      <w:r>
        <w:rPr>
          <w:rFonts w:hint="default"/>
          <w:lang w:val="en-US" w:eastAsia="zh-CN"/>
        </w:rPr>
        <w:t>不完善</w:t>
      </w:r>
      <w:r>
        <w:rPr>
          <w:rFonts w:hint="default" w:hAnsi="Times New Roman" w:cs="Times New Roman"/>
          <w:lang w:val="en-US" w:eastAsia="zh-CN"/>
        </w:rPr>
        <w:t>粒和杂质</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GB/T</w:t>
      </w:r>
      <w:r>
        <w:rPr>
          <w:rFonts w:hint="default" w:ascii="Times New Roman" w:hAnsi="Times New Roman" w:eastAsia="宋体" w:cs="Times New Roman"/>
          <w:kern w:val="2"/>
          <w:sz w:val="21"/>
          <w:szCs w:val="21"/>
          <w:lang w:val="en-US" w:eastAsia="zh-CN" w:bidi="ar-SA"/>
        </w:rPr>
        <w:t xml:space="preserve"> 5494 规定的方法执行。</w:t>
      </w:r>
    </w:p>
    <w:p>
      <w:pPr>
        <w:pStyle w:val="106"/>
        <w:bidi w:val="0"/>
        <w:ind w:left="0" w:leftChars="0" w:firstLine="0" w:firstLineChars="0"/>
        <w:rPr>
          <w:rFonts w:hint="default"/>
          <w:lang w:val="en-US" w:eastAsia="zh-CN"/>
        </w:rPr>
      </w:pPr>
      <w:r>
        <w:rPr>
          <w:rFonts w:hint="default"/>
          <w:lang w:val="en-US" w:eastAsia="zh-CN"/>
        </w:rPr>
        <w:t>垩白</w:t>
      </w:r>
      <w:r>
        <w:rPr>
          <w:rFonts w:hint="eastAsia" w:hAnsi="Times New Roman" w:cs="Times New Roman"/>
          <w:lang w:val="en-US" w:eastAsia="zh-CN"/>
        </w:rPr>
        <w:t>度</w:t>
      </w:r>
    </w:p>
    <w:p>
      <w:pPr>
        <w:pStyle w:val="66"/>
        <w:numPr>
          <w:ilvl w:val="0"/>
          <w:numId w:val="0"/>
        </w:numPr>
        <w:spacing w:before="120" w:after="120"/>
        <w:ind w:firstLine="420" w:firstLineChars="200"/>
        <w:rPr>
          <w:rFonts w:hint="default"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GB/T </w:t>
      </w:r>
      <w:r>
        <w:rPr>
          <w:rFonts w:hint="default" w:ascii="Times New Roman" w:hAnsi="Times New Roman" w:eastAsia="宋体" w:cs="Times New Roman"/>
          <w:kern w:val="2"/>
          <w:sz w:val="21"/>
          <w:szCs w:val="21"/>
          <w:lang w:val="en-US" w:eastAsia="zh-CN" w:bidi="ar-SA"/>
        </w:rPr>
        <w:t>17891 规定的方法执行。</w:t>
      </w:r>
    </w:p>
    <w:p>
      <w:pPr>
        <w:pStyle w:val="106"/>
        <w:bidi w:val="0"/>
        <w:ind w:left="0" w:leftChars="0" w:firstLine="0" w:firstLineChars="0"/>
        <w:rPr>
          <w:rFonts w:hint="default"/>
          <w:lang w:val="en-US" w:eastAsia="zh-CN"/>
        </w:rPr>
      </w:pPr>
      <w:r>
        <w:rPr>
          <w:rFonts w:hint="default"/>
          <w:lang w:val="en-US" w:eastAsia="zh-CN"/>
        </w:rPr>
        <w:t>碎米</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GB/T</w:t>
      </w:r>
      <w:r>
        <w:rPr>
          <w:rFonts w:hint="default" w:ascii="Times New Roman" w:hAnsi="Times New Roman" w:eastAsia="宋体" w:cs="Times New Roman"/>
          <w:kern w:val="2"/>
          <w:sz w:val="21"/>
          <w:szCs w:val="21"/>
          <w:lang w:val="en-US" w:eastAsia="zh-CN" w:bidi="ar-SA"/>
        </w:rPr>
        <w:t xml:space="preserve"> 5503 规定的方法执行。</w:t>
      </w:r>
    </w:p>
    <w:p>
      <w:pPr>
        <w:pStyle w:val="106"/>
        <w:bidi w:val="0"/>
        <w:ind w:left="0" w:leftChars="0" w:firstLine="0" w:firstLineChars="0"/>
        <w:rPr>
          <w:rFonts w:hint="default"/>
          <w:lang w:val="en-US" w:eastAsia="zh-CN"/>
        </w:rPr>
      </w:pPr>
      <w:r>
        <w:rPr>
          <w:rFonts w:hint="default"/>
          <w:lang w:val="en-US" w:eastAsia="zh-CN"/>
        </w:rPr>
        <w:t>水分</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GB </w:t>
      </w:r>
      <w:r>
        <w:rPr>
          <w:rFonts w:hint="default" w:ascii="Times New Roman" w:hAnsi="Times New Roman" w:eastAsia="宋体" w:cs="Times New Roman"/>
          <w:kern w:val="2"/>
          <w:sz w:val="21"/>
          <w:szCs w:val="21"/>
          <w:lang w:val="en-US" w:eastAsia="zh-CN" w:bidi="ar-SA"/>
        </w:rPr>
        <w:t>5009.3 规定的方法执行。</w:t>
      </w:r>
    </w:p>
    <w:p>
      <w:pPr>
        <w:pStyle w:val="106"/>
        <w:bidi w:val="0"/>
        <w:ind w:left="0" w:leftChars="0" w:firstLine="0" w:firstLineChars="0"/>
        <w:rPr>
          <w:rFonts w:hint="default"/>
          <w:lang w:val="en-US" w:eastAsia="zh-CN"/>
        </w:rPr>
      </w:pPr>
      <w:r>
        <w:rPr>
          <w:rFonts w:hint="default"/>
          <w:lang w:val="en-US" w:eastAsia="zh-CN"/>
        </w:rPr>
        <w:t>互混率</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GB/T 5493</w:t>
      </w:r>
      <w:r>
        <w:rPr>
          <w:rFonts w:hint="default" w:ascii="Times New Roman" w:hAnsi="Times New Roman" w:eastAsia="宋体" w:cs="Times New Roman"/>
          <w:kern w:val="2"/>
          <w:sz w:val="21"/>
          <w:szCs w:val="21"/>
          <w:lang w:val="en-US" w:eastAsia="zh-CN" w:bidi="ar-SA"/>
        </w:rPr>
        <w:t xml:space="preserve"> 规定执行。</w:t>
      </w:r>
    </w:p>
    <w:p>
      <w:pPr>
        <w:pStyle w:val="106"/>
        <w:bidi w:val="0"/>
        <w:ind w:left="0" w:leftChars="0" w:firstLine="0" w:firstLineChars="0"/>
        <w:rPr>
          <w:rFonts w:hint="default"/>
          <w:color w:val="FF0000"/>
          <w:lang w:val="en-US" w:eastAsia="zh-CN"/>
        </w:rPr>
      </w:pPr>
      <w:r>
        <w:rPr>
          <w:rFonts w:hint="default"/>
          <w:lang w:val="en-US" w:eastAsia="zh-CN"/>
        </w:rPr>
        <w:t>直链淀粉</w:t>
      </w:r>
      <w:r>
        <w:rPr>
          <w:rFonts w:hint="eastAsia" w:hAnsi="Times New Roman" w:cs="Times New Roman"/>
          <w:lang w:val="en-US" w:eastAsia="zh-CN"/>
        </w:rPr>
        <w:t>含量</w:t>
      </w:r>
    </w:p>
    <w:p>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GB/T 15683</w:t>
      </w:r>
      <w:r>
        <w:rPr>
          <w:rFonts w:hint="default" w:ascii="Times New Roman" w:hAnsi="Times New Roman" w:eastAsia="宋体" w:cs="Times New Roman"/>
          <w:kern w:val="2"/>
          <w:sz w:val="21"/>
          <w:szCs w:val="21"/>
          <w:lang w:val="en-US" w:eastAsia="zh-CN" w:bidi="ar-SA"/>
        </w:rPr>
        <w:t xml:space="preserve"> 规定执行。</w:t>
      </w:r>
    </w:p>
    <w:p>
      <w:pPr>
        <w:pStyle w:val="106"/>
        <w:bidi w:val="0"/>
        <w:ind w:left="0" w:leftChars="0" w:firstLine="0" w:firstLineChars="0"/>
        <w:rPr>
          <w:rFonts w:hint="default"/>
          <w:lang w:val="en-US" w:eastAsia="zh-CN"/>
        </w:rPr>
      </w:pPr>
      <w:r>
        <w:rPr>
          <w:rFonts w:hint="default"/>
          <w:lang w:val="en-US" w:eastAsia="zh-CN"/>
        </w:rPr>
        <w:t>净含量检查</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JJF </w:t>
      </w:r>
      <w:r>
        <w:rPr>
          <w:rFonts w:hint="default" w:ascii="Times New Roman" w:hAnsi="Times New Roman" w:eastAsia="宋体" w:cs="Times New Roman"/>
          <w:kern w:val="2"/>
          <w:sz w:val="21"/>
          <w:szCs w:val="21"/>
          <w:lang w:val="en-US" w:eastAsia="zh-CN" w:bidi="ar-SA"/>
        </w:rPr>
        <w:t>1070</w:t>
      </w:r>
      <w:r>
        <w:rPr>
          <w:rFonts w:hint="eastAsia" w:ascii="Times New Roman" w:eastAsia="宋体" w:cs="Times New Roman"/>
          <w:kern w:val="2"/>
          <w:sz w:val="21"/>
          <w:szCs w:val="21"/>
          <w:lang w:val="en-US" w:eastAsia="zh-CN" w:bidi="ar-SA"/>
        </w:rPr>
        <w:t>的</w:t>
      </w:r>
      <w:r>
        <w:rPr>
          <w:rFonts w:hint="default" w:ascii="Times New Roman" w:hAnsi="Times New Roman" w:eastAsia="宋体" w:cs="Times New Roman"/>
          <w:kern w:val="2"/>
          <w:sz w:val="21"/>
          <w:szCs w:val="21"/>
          <w:lang w:val="en-US" w:eastAsia="zh-CN" w:bidi="ar-SA"/>
        </w:rPr>
        <w:t>规定执行。</w:t>
      </w:r>
    </w:p>
    <w:p>
      <w:pPr>
        <w:pStyle w:val="106"/>
        <w:bidi w:val="0"/>
        <w:ind w:left="0" w:leftChars="0" w:firstLine="0" w:firstLineChars="0"/>
        <w:rPr>
          <w:rFonts w:hint="default"/>
          <w:lang w:val="en-US" w:eastAsia="zh-CN"/>
        </w:rPr>
      </w:pPr>
      <w:r>
        <w:rPr>
          <w:rFonts w:hint="eastAsia"/>
          <w:lang w:val="en-US" w:eastAsia="zh-CN"/>
        </w:rPr>
        <w:t>安全指标</w:t>
      </w:r>
    </w:p>
    <w:p>
      <w:pPr>
        <w:pStyle w:val="66"/>
        <w:numPr>
          <w:ilvl w:val="0"/>
          <w:numId w:val="0"/>
        </w:numPr>
        <w:spacing w:before="120" w:after="120"/>
        <w:ind w:firstLine="420" w:firstLineChars="200"/>
        <w:rPr>
          <w:rFonts w:hint="default"/>
          <w:lang w:val="en-US" w:eastAsia="zh-CN"/>
        </w:rPr>
      </w:pPr>
      <w:r>
        <w:rPr>
          <w:rFonts w:hint="default" w:ascii="Times New Roman" w:hAnsi="Times New Roman" w:eastAsia="宋体" w:cs="Times New Roman"/>
          <w:kern w:val="2"/>
          <w:sz w:val="21"/>
          <w:szCs w:val="21"/>
          <w:lang w:val="en-US" w:eastAsia="zh-CN" w:bidi="ar-SA"/>
        </w:rPr>
        <w:t>应按</w:t>
      </w:r>
      <w:r>
        <w:rPr>
          <w:rFonts w:hint="default" w:ascii="Times New Roman" w:hAnsi="Times New Roman" w:eastAsia="宋体" w:cs="Times New Roman"/>
          <w:kern w:val="0"/>
          <w:sz w:val="21"/>
          <w:szCs w:val="20"/>
          <w:lang w:val="en-US" w:eastAsia="zh-CN" w:bidi="ar-SA"/>
        </w:rPr>
        <w:t>GB</w:t>
      </w:r>
      <w:r>
        <w:rPr>
          <w:rFonts w:hint="default" w:ascii="Times New Roman" w:hAnsi="Times New Roman" w:eastAsia="宋体" w:cs="Times New Roman"/>
          <w:kern w:val="2"/>
          <w:sz w:val="21"/>
          <w:szCs w:val="21"/>
          <w:lang w:val="en-US" w:eastAsia="zh-CN" w:bidi="ar-SA"/>
        </w:rPr>
        <w:t xml:space="preserve"> 2715的规定执行。</w:t>
      </w:r>
    </w:p>
    <w:p>
      <w:pPr>
        <w:pStyle w:val="105"/>
        <w:spacing w:before="240" w:after="240"/>
        <w:rPr>
          <w:rFonts w:hint="default"/>
          <w:lang w:val="en-US" w:eastAsia="zh-CN"/>
        </w:rPr>
      </w:pPr>
      <w:r>
        <w:rPr>
          <w:rFonts w:hint="default"/>
          <w:lang w:val="en-US" w:eastAsia="zh-CN"/>
        </w:rPr>
        <w:t>检验规则</w:t>
      </w:r>
    </w:p>
    <w:p>
      <w:pPr>
        <w:pStyle w:val="106"/>
        <w:bidi w:val="0"/>
        <w:ind w:left="0" w:leftChars="0" w:firstLine="0" w:firstLineChars="0"/>
        <w:rPr>
          <w:rFonts w:hint="default"/>
          <w:lang w:val="en-US" w:eastAsia="zh-CN"/>
        </w:rPr>
      </w:pPr>
      <w:r>
        <w:rPr>
          <w:rFonts w:hint="default"/>
          <w:lang w:val="en-US" w:eastAsia="zh-CN"/>
        </w:rPr>
        <w:t xml:space="preserve">扦样和分样 </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GB/T 5491 规定执行。 </w:t>
      </w:r>
    </w:p>
    <w:p>
      <w:pPr>
        <w:pStyle w:val="106"/>
        <w:bidi w:val="0"/>
        <w:ind w:left="0" w:leftChars="0" w:firstLine="0" w:firstLineChars="0"/>
        <w:rPr>
          <w:rFonts w:hint="default"/>
          <w:lang w:val="en-US" w:eastAsia="zh-CN"/>
        </w:rPr>
      </w:pPr>
      <w:r>
        <w:rPr>
          <w:rFonts w:hint="default"/>
          <w:lang w:val="en-US" w:eastAsia="zh-CN"/>
        </w:rPr>
        <w:t>检验分类</w:t>
      </w:r>
    </w:p>
    <w:p>
      <w:pPr>
        <w:pStyle w:val="66"/>
        <w:bidi w:val="0"/>
        <w:ind w:left="0" w:leftChars="0" w:firstLine="0" w:firstLineChars="0"/>
        <w:rPr>
          <w:rFonts w:hint="default"/>
          <w:lang w:val="en-US" w:eastAsia="zh-CN"/>
        </w:rPr>
      </w:pPr>
      <w:r>
        <w:rPr>
          <w:rFonts w:hint="default"/>
          <w:lang w:val="en-US" w:eastAsia="zh-CN"/>
        </w:rPr>
        <w:t>出厂</w:t>
      </w:r>
      <w:r>
        <w:rPr>
          <w:rFonts w:hint="eastAsia"/>
          <w:lang w:val="en-US" w:eastAsia="zh-CN"/>
        </w:rPr>
        <w:t>检验</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 xml:space="preserve">每批产品出厂前，生产单位应进行出厂检验。出厂检验内容包括感官指标以及加工质量指标。检验合格后方可出厂。 </w:t>
      </w:r>
    </w:p>
    <w:p>
      <w:pPr>
        <w:pStyle w:val="66"/>
        <w:bidi w:val="0"/>
        <w:ind w:left="0" w:leftChars="0" w:firstLine="0" w:firstLineChars="0"/>
        <w:rPr>
          <w:rFonts w:hint="default"/>
          <w:lang w:val="en-US" w:eastAsia="zh-CN"/>
        </w:rPr>
      </w:pPr>
      <w:r>
        <w:rPr>
          <w:rFonts w:hint="default"/>
          <w:lang w:val="en-US" w:eastAsia="zh-CN"/>
        </w:rPr>
        <w:t>型式检验</w:t>
      </w:r>
    </w:p>
    <w:p>
      <w:pPr>
        <w:pStyle w:val="57"/>
        <w:ind w:firstLine="420"/>
        <w:rPr>
          <w:rFonts w:hint="default" w:ascii="Times New Roman" w:hAnsi="Times New Roman" w:cs="Times New Roman"/>
          <w:lang w:val="en-US" w:eastAsia="zh-CN"/>
        </w:rPr>
      </w:pPr>
      <w:r>
        <w:rPr>
          <w:rFonts w:hint="default" w:ascii="Times New Roman" w:hAnsi="Times New Roman" w:cs="Times New Roman"/>
        </w:rPr>
        <w:t>型式检验项目应为本文件</w:t>
      </w:r>
      <w:r>
        <w:rPr>
          <w:rFonts w:hint="default" w:ascii="Times New Roman" w:hAnsi="Times New Roman" w:eastAsia="宋体" w:cs="Times New Roman"/>
          <w:spacing w:val="-5"/>
          <w:kern w:val="0"/>
          <w:sz w:val="21"/>
          <w:szCs w:val="21"/>
          <w:lang w:val="en-US" w:eastAsia="zh-CN" w:bidi="ar-SA"/>
        </w:rPr>
        <w:t>6.3</w:t>
      </w:r>
      <w:r>
        <w:rPr>
          <w:rFonts w:hint="default" w:ascii="Times New Roman" w:hAnsi="Times New Roman" w:eastAsia="宋体" w:cs="Times New Roman"/>
          <w:spacing w:val="-5"/>
          <w:kern w:val="0"/>
          <w:sz w:val="21"/>
          <w:szCs w:val="21"/>
          <w:lang w:val="zh-CN" w:eastAsia="zh-CN" w:bidi="ar-SA"/>
        </w:rPr>
        <w:t>～</w:t>
      </w:r>
      <w:r>
        <w:rPr>
          <w:rFonts w:hint="default" w:ascii="Times New Roman" w:hAnsi="Times New Roman" w:eastAsia="宋体" w:cs="Times New Roman"/>
          <w:spacing w:val="-5"/>
          <w:kern w:val="0"/>
          <w:sz w:val="21"/>
          <w:szCs w:val="21"/>
          <w:lang w:val="en-US" w:eastAsia="zh-CN" w:bidi="ar-SA"/>
        </w:rPr>
        <w:t>6.</w:t>
      </w:r>
      <w:r>
        <w:rPr>
          <w:rFonts w:hint="eastAsia" w:ascii="Times New Roman" w:cs="Times New Roman"/>
          <w:spacing w:val="-5"/>
          <w:kern w:val="0"/>
          <w:sz w:val="21"/>
          <w:szCs w:val="21"/>
          <w:lang w:val="en-US" w:eastAsia="zh-CN" w:bidi="ar-SA"/>
        </w:rPr>
        <w:t>7</w:t>
      </w:r>
      <w:r>
        <w:rPr>
          <w:rFonts w:hint="default" w:ascii="Times New Roman" w:hAnsi="Times New Roman" w:eastAsia="宋体" w:cs="Times New Roman"/>
          <w:spacing w:val="-5"/>
          <w:kern w:val="0"/>
          <w:sz w:val="21"/>
          <w:szCs w:val="21"/>
          <w:lang w:val="en-US" w:eastAsia="zh-CN" w:bidi="ar-SA"/>
        </w:rPr>
        <w:t>规定的全</w:t>
      </w:r>
      <w:r>
        <w:rPr>
          <w:rFonts w:hint="default" w:ascii="Times New Roman" w:hAnsi="Times New Roman" w:cs="Times New Roman"/>
        </w:rPr>
        <w:t>部项目，有下列情形之一者，应进行型式检验：</w:t>
      </w:r>
    </w:p>
    <w:p>
      <w:pPr>
        <w:pStyle w:val="233"/>
        <w:numPr>
          <w:ilvl w:val="0"/>
          <w:numId w:val="32"/>
        </w:numPr>
        <w:spacing w:before="43" w:beforeAutospacing="0" w:after="0" w:afterAutospacing="0"/>
        <w:rPr>
          <w:rFonts w:hint="default" w:ascii="Times New Roman" w:hAnsi="Times New Roman" w:cs="Times New Roman"/>
          <w:spacing w:val="-2"/>
          <w:sz w:val="21"/>
          <w:szCs w:val="21"/>
        </w:rPr>
      </w:pPr>
      <w:r>
        <w:rPr>
          <w:rFonts w:hint="eastAsia" w:ascii="Times New Roman" w:hAnsi="Times New Roman" w:cs="Times New Roman"/>
          <w:sz w:val="21"/>
          <w:szCs w:val="21"/>
          <w:lang w:eastAsia="zh-CN"/>
        </w:rPr>
        <w:t>正常生产时，每年进行一次</w:t>
      </w:r>
      <w:r>
        <w:rPr>
          <w:rFonts w:hint="default" w:ascii="Times New Roman" w:hAnsi="Times New Roman" w:cs="Times New Roman"/>
          <w:spacing w:val="-2"/>
          <w:sz w:val="21"/>
          <w:szCs w:val="21"/>
        </w:rPr>
        <w:t>；</w:t>
      </w:r>
    </w:p>
    <w:p>
      <w:pPr>
        <w:pStyle w:val="233"/>
        <w:numPr>
          <w:ilvl w:val="0"/>
          <w:numId w:val="32"/>
        </w:numPr>
        <w:spacing w:before="43" w:beforeAutospacing="0" w:after="0" w:afterAutospacing="0"/>
        <w:rPr>
          <w:rFonts w:hint="default" w:ascii="Times New Roman" w:hAnsi="Times New Roman" w:cs="Times New Roman"/>
          <w:spacing w:val="-2"/>
          <w:sz w:val="21"/>
          <w:szCs w:val="21"/>
        </w:rPr>
      </w:pPr>
      <w:r>
        <w:rPr>
          <w:rFonts w:hint="eastAsia" w:ascii="Times New Roman" w:hAnsi="Times New Roman" w:cs="Times New Roman"/>
          <w:sz w:val="21"/>
          <w:szCs w:val="21"/>
          <w:lang w:eastAsia="zh-CN"/>
        </w:rPr>
        <w:t>新产品投产时</w:t>
      </w:r>
      <w:r>
        <w:rPr>
          <w:rFonts w:hint="default" w:ascii="Times New Roman" w:hAnsi="Times New Roman" w:cs="Times New Roman"/>
          <w:spacing w:val="-2"/>
          <w:sz w:val="21"/>
          <w:szCs w:val="21"/>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2"/>
          <w:sz w:val="21"/>
          <w:szCs w:val="21"/>
        </w:rPr>
        <w:t>生</w:t>
      </w:r>
      <w:r>
        <w:rPr>
          <w:rFonts w:hint="default" w:ascii="Times New Roman" w:hAnsi="Times New Roman" w:cs="Times New Roman"/>
          <w:spacing w:val="-4"/>
          <w:sz w:val="21"/>
          <w:szCs w:val="21"/>
        </w:rPr>
        <w:t>产环境发生较大变化，可能影响产品质量时；</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2"/>
          <w:sz w:val="21"/>
          <w:szCs w:val="21"/>
        </w:rPr>
        <w:t>交收检验差异较大时；</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5"/>
          <w:sz w:val="21"/>
          <w:szCs w:val="21"/>
        </w:rPr>
        <w:t>国家市场监督机构或主管部门提出型式检验要求时。</w:t>
      </w:r>
    </w:p>
    <w:p>
      <w:pPr>
        <w:pStyle w:val="66"/>
        <w:bidi w:val="0"/>
        <w:ind w:left="0" w:leftChars="0" w:firstLine="0" w:firstLineChars="0"/>
        <w:rPr>
          <w:rFonts w:hint="default"/>
          <w:lang w:val="en-US" w:eastAsia="zh-CN"/>
        </w:rPr>
      </w:pPr>
      <w:r>
        <w:rPr>
          <w:rFonts w:hint="default"/>
          <w:lang w:val="en-US" w:eastAsia="zh-CN"/>
        </w:rPr>
        <w:t>产品组批</w:t>
      </w:r>
    </w:p>
    <w:p>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应以同原料、同工艺、同设备、同班次加工的同一等级的大米产品为一个批次。</w:t>
      </w:r>
    </w:p>
    <w:p>
      <w:pPr>
        <w:pStyle w:val="106"/>
        <w:bidi w:val="0"/>
        <w:ind w:left="0" w:leftChars="0" w:firstLine="0" w:firstLineChars="0"/>
        <w:rPr>
          <w:rFonts w:hint="default"/>
          <w:lang w:val="en-US" w:eastAsia="zh-CN"/>
        </w:rPr>
      </w:pPr>
      <w:r>
        <w:rPr>
          <w:rFonts w:hint="default"/>
          <w:lang w:val="en-US" w:eastAsia="zh-CN"/>
        </w:rPr>
        <w:t>判断规则</w:t>
      </w:r>
    </w:p>
    <w:p>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检验项目全部符合本文件规定，应判该批产品合格。检验项目中安全指标不符合规定时，应判该批产品不合格，不得复检。等级指标有一项不符合规定时，应逐级下判，低于</w:t>
      </w:r>
      <w:r>
        <w:rPr>
          <w:rFonts w:hint="eastAsia" w:ascii="Times New Roman" w:hAnsi="Times New Roman" w:eastAsia="宋体" w:cs="Times New Roman"/>
          <w:kern w:val="2"/>
          <w:sz w:val="21"/>
          <w:szCs w:val="21"/>
          <w:lang w:val="en-US" w:eastAsia="zh-CN" w:bidi="ar-SA"/>
        </w:rPr>
        <w:t>三级</w:t>
      </w:r>
      <w:r>
        <w:rPr>
          <w:rFonts w:hint="default" w:ascii="Times New Roman" w:hAnsi="Times New Roman" w:eastAsia="宋体" w:cs="Times New Roman"/>
          <w:kern w:val="2"/>
          <w:sz w:val="21"/>
          <w:szCs w:val="21"/>
          <w:lang w:val="en-US" w:eastAsia="zh-CN" w:bidi="ar-SA"/>
        </w:rPr>
        <w:t>应判为级外品。理化指标和感官检验不合格规定时，可加倍取样复检，复检仍不合格，应判该批产品不合格。</w:t>
      </w:r>
    </w:p>
    <w:p>
      <w:pPr>
        <w:pStyle w:val="105"/>
        <w:spacing w:before="240" w:after="240"/>
        <w:rPr>
          <w:rFonts w:hint="default"/>
          <w:lang w:val="en-US" w:eastAsia="zh-CN"/>
        </w:rPr>
      </w:pPr>
      <w:r>
        <w:rPr>
          <w:rFonts w:hint="default"/>
          <w:lang w:val="en-US" w:eastAsia="zh-CN"/>
        </w:rPr>
        <w:t>标签、标志、包装、运输和贮存</w:t>
      </w:r>
    </w:p>
    <w:p>
      <w:pPr>
        <w:pStyle w:val="106"/>
        <w:bidi w:val="0"/>
        <w:ind w:left="0" w:leftChars="0" w:firstLine="0" w:firstLineChars="0"/>
        <w:rPr>
          <w:rFonts w:hint="default"/>
          <w:lang w:val="en-US" w:eastAsia="zh-CN"/>
        </w:rPr>
      </w:pPr>
      <w:r>
        <w:rPr>
          <w:rFonts w:hint="default"/>
          <w:lang w:val="en-US" w:eastAsia="zh-CN"/>
        </w:rPr>
        <w:t>标签</w:t>
      </w:r>
    </w:p>
    <w:p>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应符合 GB 7718的规定。</w:t>
      </w:r>
    </w:p>
    <w:bookmarkEnd w:id="22"/>
    <w:p>
      <w:pPr>
        <w:pStyle w:val="106"/>
        <w:bidi w:val="0"/>
        <w:ind w:left="0" w:leftChars="0" w:firstLine="0" w:firstLineChars="0"/>
        <w:rPr>
          <w:rFonts w:hint="default"/>
          <w:lang w:val="en-US" w:eastAsia="zh-CN"/>
        </w:rPr>
      </w:pPr>
      <w:bookmarkStart w:id="48" w:name="BookMark5"/>
      <w:r>
        <w:rPr>
          <w:rFonts w:hint="default"/>
          <w:lang w:val="en-US" w:eastAsia="zh-CN"/>
        </w:rPr>
        <w:t xml:space="preserve"> 标志</w:t>
      </w:r>
    </w:p>
    <w:p>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获准使用地理标志证明商标专用标志的生产者，可在其产品包装上使用地理标志证明商标专用标志，地理标志证明商标专用标志的使用应与商标注册证（第67473297号）上核定的标志一致，并应符合《地理标志专用标志使用管理办法（试行）》规定。</w:t>
      </w:r>
      <w:r>
        <w:rPr>
          <w:rFonts w:hint="default" w:ascii="Times New Roman" w:hAnsi="Times New Roman" w:eastAsia="宋体" w:cs="Times New Roman"/>
          <w:kern w:val="2"/>
          <w:sz w:val="21"/>
          <w:szCs w:val="21"/>
          <w:lang w:val="en-US" w:eastAsia="zh-CN" w:bidi="ar-SA"/>
        </w:rPr>
        <w:t>应符合 GB/T 191的规定。</w:t>
      </w:r>
    </w:p>
    <w:p>
      <w:pPr>
        <w:pStyle w:val="106"/>
        <w:bidi w:val="0"/>
        <w:ind w:left="0" w:leftChars="0" w:firstLine="0" w:firstLineChars="0"/>
        <w:rPr>
          <w:rFonts w:hint="default"/>
          <w:lang w:val="en-US" w:eastAsia="zh-CN"/>
        </w:rPr>
      </w:pPr>
      <w:r>
        <w:rPr>
          <w:rFonts w:hint="default"/>
          <w:lang w:val="en-US" w:eastAsia="zh-CN"/>
        </w:rPr>
        <w:t>包装</w:t>
      </w:r>
    </w:p>
    <w:p>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应符合 GB/T 17109 的规定。 </w:t>
      </w:r>
    </w:p>
    <w:p>
      <w:pPr>
        <w:pStyle w:val="106"/>
        <w:bidi w:val="0"/>
        <w:ind w:left="0" w:leftChars="0" w:firstLine="0" w:firstLineChars="0"/>
        <w:rPr>
          <w:rFonts w:hint="default"/>
          <w:lang w:val="en-US" w:eastAsia="zh-CN"/>
        </w:rPr>
      </w:pPr>
      <w:r>
        <w:rPr>
          <w:rFonts w:hint="default"/>
          <w:lang w:val="en-US" w:eastAsia="zh-CN"/>
        </w:rPr>
        <w:t>运输</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应使用符合卫生要求的运输工具，在运输过程中应防雨、防潮、防污染，</w:t>
      </w:r>
      <w:r>
        <w:rPr>
          <w:rFonts w:hint="default" w:ascii="Times New Roman" w:hAnsi="Times New Roman" w:cs="Times New Roman"/>
        </w:rPr>
        <w:t>不得与有毒、有害、有异味的物品混运</w:t>
      </w:r>
      <w:r>
        <w:rPr>
          <w:rFonts w:hint="default" w:ascii="Times New Roman" w:hAnsi="Times New Roman" w:cs="Times New Roman"/>
          <w:lang w:val="en-US" w:eastAsia="zh-CN"/>
        </w:rPr>
        <w:t>。</w:t>
      </w:r>
    </w:p>
    <w:p>
      <w:pPr>
        <w:pStyle w:val="106"/>
        <w:bidi w:val="0"/>
        <w:ind w:left="0" w:leftChars="0" w:firstLine="0" w:firstLineChars="0"/>
        <w:rPr>
          <w:rFonts w:hint="default" w:hAnsi="Times New Roman" w:cs="Times New Roman"/>
          <w:lang w:val="en-US" w:eastAsia="zh-CN"/>
        </w:rPr>
      </w:pPr>
      <w:r>
        <w:rPr>
          <w:rFonts w:hint="default" w:hAnsi="Times New Roman" w:cs="Times New Roman"/>
          <w:lang w:val="en-US" w:eastAsia="zh-CN"/>
        </w:rPr>
        <w:t>贮存</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 xml:space="preserve">贮存仓库通风、干燥、阴凉、防潮、防雨、防虫、防鼠等，严禁与有害、有毒、有腐蚀性、有异味等物质混存。 </w:t>
      </w:r>
    </w:p>
    <w:p>
      <w:pPr>
        <w:keepNext w:val="0"/>
        <w:keepLines w:val="0"/>
        <w:widowControl/>
        <w:suppressLineNumbers w:val="0"/>
        <w:ind w:firstLine="420" w:firstLineChars="200"/>
        <w:jc w:val="left"/>
        <w:rPr>
          <w:rFonts w:hint="default" w:ascii="Times New Roman" w:hAnsi="Times New Roman" w:cs="Times New Roman"/>
          <w:color w:val="000000"/>
          <w:kern w:val="0"/>
          <w:sz w:val="21"/>
          <w:szCs w:val="21"/>
          <w:lang w:val="en-US" w:eastAsia="zh-CN" w:bidi="ar"/>
        </w:rPr>
      </w:pPr>
    </w:p>
    <w:bookmarkEnd w:id="48"/>
    <w:p>
      <w:pPr>
        <w:rPr>
          <w:rFonts w:ascii="黑体" w:hAnsi="宋体" w:eastAsia="黑体" w:cs="黑体"/>
          <w:color w:val="000000"/>
          <w:kern w:val="0"/>
          <w:sz w:val="21"/>
          <w:szCs w:val="21"/>
          <w:lang w:val="en-US" w:eastAsia="zh-CN" w:bidi="ar"/>
        </w:rPr>
      </w:pPr>
      <w:bookmarkStart w:id="49" w:name="BookMark8"/>
      <w:r>
        <w:rPr>
          <w:rFonts w:ascii="黑体" w:hAnsi="宋体" w:eastAsia="黑体" w:cs="黑体"/>
          <w:color w:val="000000"/>
          <w:kern w:val="0"/>
          <w:sz w:val="21"/>
          <w:szCs w:val="21"/>
          <w:lang w:val="en-US" w:eastAsia="zh-CN" w:bidi="ar"/>
        </w:rPr>
        <w:br w:type="page"/>
      </w:r>
    </w:p>
    <w:p>
      <w:pPr>
        <w:keepNext w:val="0"/>
        <w:keepLines w:val="0"/>
        <w:widowControl/>
        <w:suppressLineNumbers w:val="0"/>
        <w:jc w:val="center"/>
      </w:pPr>
      <w:r>
        <w:rPr>
          <w:rFonts w:ascii="黑体" w:hAnsi="宋体" w:eastAsia="黑体" w:cs="黑体"/>
          <w:color w:val="000000"/>
          <w:kern w:val="0"/>
          <w:sz w:val="21"/>
          <w:szCs w:val="21"/>
          <w:lang w:val="en-US" w:eastAsia="zh-CN" w:bidi="ar"/>
        </w:rPr>
        <w:t>附 录 A</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（规范性）</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地理标志证明商标洪江米保护范围图</w:t>
      </w:r>
    </w:p>
    <w:p>
      <w:pPr>
        <w:pStyle w:val="57"/>
        <w:ind w:firstLine="0" w:firstLineChars="0"/>
        <w:jc w:val="cente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A.1</w:t>
      </w:r>
      <w:r>
        <w:rPr>
          <w:rFonts w:hint="eastAsia" w:ascii="黑体" w:hAnsi="黑体" w:eastAsia="黑体" w:cs="黑体"/>
          <w:color w:val="FF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地理标志证明商标洪江米保护范围见图 A.1。 </w:t>
      </w:r>
    </w:p>
    <w:p>
      <w:pPr>
        <w:pStyle w:val="57"/>
        <w:ind w:firstLine="0" w:firstLineChars="0"/>
        <w:jc w:val="center"/>
      </w:pPr>
    </w:p>
    <w:p>
      <w:pPr>
        <w:pStyle w:val="57"/>
        <w:ind w:firstLine="0" w:firstLineChars="0"/>
        <w:jc w:val="center"/>
        <w:rPr>
          <w:rFonts w:hint="eastAsia" w:eastAsia="宋体"/>
          <w:lang w:eastAsia="zh-CN"/>
        </w:rPr>
      </w:pPr>
      <w:r>
        <w:rPr>
          <w:rFonts w:hint="eastAsia" w:eastAsia="宋体"/>
          <w:lang w:eastAsia="zh-CN"/>
        </w:rPr>
        <w:drawing>
          <wp:inline distT="0" distB="0" distL="114300" distR="114300">
            <wp:extent cx="5671185" cy="4674870"/>
            <wp:effectExtent l="0" t="0" r="13335" b="3810"/>
            <wp:docPr id="3" name="图片 3" descr="ed76ef5c6a42f458d196eb3702790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76ef5c6a42f458d196eb3702790c6"/>
                    <pic:cNvPicPr>
                      <a:picLocks noChangeAspect="1"/>
                    </pic:cNvPicPr>
                  </pic:nvPicPr>
                  <pic:blipFill>
                    <a:blip r:embed="rId17"/>
                    <a:stretch>
                      <a:fillRect/>
                    </a:stretch>
                  </pic:blipFill>
                  <pic:spPr>
                    <a:xfrm>
                      <a:off x="0" y="0"/>
                      <a:ext cx="5671185" cy="4674870"/>
                    </a:xfrm>
                    <a:prstGeom prst="rect">
                      <a:avLst/>
                    </a:prstGeom>
                  </pic:spPr>
                </pic:pic>
              </a:graphicData>
            </a:graphic>
          </wp:inline>
        </w:drawing>
      </w:r>
    </w:p>
    <w:p>
      <w:pPr>
        <w:pStyle w:val="57"/>
        <w:ind w:firstLine="0" w:firstLineChars="0"/>
        <w:jc w:val="center"/>
      </w:pPr>
    </w:p>
    <w:p>
      <w:pPr>
        <w:pStyle w:val="57"/>
        <w:ind w:firstLine="0" w:firstLineChars="0"/>
        <w:jc w:val="center"/>
      </w:pPr>
    </w:p>
    <w:p>
      <w:pPr>
        <w:pStyle w:val="57"/>
        <w:ind w:firstLine="0" w:firstLineChars="0"/>
        <w:jc w:val="center"/>
      </w:pPr>
    </w:p>
    <w:p>
      <w:pPr>
        <w:keepNext w:val="0"/>
        <w:keepLines w:val="0"/>
        <w:widowControl/>
        <w:suppressLineNumbers w:val="0"/>
        <w:jc w:val="center"/>
      </w:pPr>
      <w:r>
        <w:rPr>
          <w:rFonts w:ascii="黑体" w:hAnsi="宋体" w:eastAsia="黑体" w:cs="黑体"/>
          <w:color w:val="000000"/>
          <w:kern w:val="0"/>
          <w:sz w:val="21"/>
          <w:szCs w:val="21"/>
          <w:lang w:val="en-US" w:eastAsia="zh-CN" w:bidi="ar"/>
        </w:rPr>
        <w:t>图A.1</w:t>
      </w:r>
      <w:r>
        <w:rPr>
          <w:rFonts w:hint="eastAsia" w:ascii="黑体" w:hAnsi="宋体" w:eastAsia="黑体" w:cs="黑体"/>
          <w:color w:val="000000"/>
          <w:kern w:val="0"/>
          <w:sz w:val="21"/>
          <w:szCs w:val="21"/>
          <w:lang w:val="en-US" w:eastAsia="zh-CN" w:bidi="ar"/>
        </w:rPr>
        <w:t>地理标志证明商标洪江米保护范围图</w:t>
      </w:r>
    </w:p>
    <w:p>
      <w:pPr>
        <w:pStyle w:val="57"/>
        <w:ind w:firstLine="0" w:firstLineChars="0"/>
        <w:jc w:val="center"/>
      </w:pPr>
    </w:p>
    <w:p>
      <w:pPr>
        <w:pStyle w:val="57"/>
        <w:ind w:firstLine="0" w:firstLineChars="0"/>
        <w:jc w:val="both"/>
      </w:pPr>
      <w:r>
        <w:rPr>
          <w:rFonts w:hint="eastAsia"/>
          <w:lang w:val="en-US" w:eastAsia="zh-CN"/>
        </w:rPr>
        <w:t xml:space="preserve">                                </w:t>
      </w:r>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p>
      <w:pPr>
        <w:pStyle w:val="57"/>
        <w:ind w:firstLine="0" w:firstLineChars="0"/>
        <w:jc w:val="center"/>
      </w:pPr>
    </w:p>
    <w:p>
      <w:pPr>
        <w:pStyle w:val="57"/>
        <w:ind w:firstLine="0" w:firstLineChars="0"/>
        <w:jc w:val="cente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0F0"/>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47"/>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0A29DC"/>
    <w:rsid w:val="01722330"/>
    <w:rsid w:val="032A2EC2"/>
    <w:rsid w:val="03CC3F79"/>
    <w:rsid w:val="0437620F"/>
    <w:rsid w:val="052B1173"/>
    <w:rsid w:val="05BC655C"/>
    <w:rsid w:val="05DB4947"/>
    <w:rsid w:val="06E25862"/>
    <w:rsid w:val="07726BE5"/>
    <w:rsid w:val="07A229F3"/>
    <w:rsid w:val="07E01DA1"/>
    <w:rsid w:val="084C5688"/>
    <w:rsid w:val="095D5673"/>
    <w:rsid w:val="095F13EB"/>
    <w:rsid w:val="09B3067A"/>
    <w:rsid w:val="09D345AF"/>
    <w:rsid w:val="09D37A01"/>
    <w:rsid w:val="0B725406"/>
    <w:rsid w:val="0C621E43"/>
    <w:rsid w:val="0CD06F02"/>
    <w:rsid w:val="0D134413"/>
    <w:rsid w:val="0D1349C7"/>
    <w:rsid w:val="0E1516DC"/>
    <w:rsid w:val="0E43308A"/>
    <w:rsid w:val="0E8C4A31"/>
    <w:rsid w:val="0E903FD6"/>
    <w:rsid w:val="0EB43F87"/>
    <w:rsid w:val="0EC35F79"/>
    <w:rsid w:val="0EF10D38"/>
    <w:rsid w:val="0F07055B"/>
    <w:rsid w:val="0F556719"/>
    <w:rsid w:val="10CC380A"/>
    <w:rsid w:val="10D0497D"/>
    <w:rsid w:val="116C0B49"/>
    <w:rsid w:val="13460F22"/>
    <w:rsid w:val="135A2CE6"/>
    <w:rsid w:val="136820F1"/>
    <w:rsid w:val="139B5716"/>
    <w:rsid w:val="14EA425F"/>
    <w:rsid w:val="1534372C"/>
    <w:rsid w:val="158F1A82"/>
    <w:rsid w:val="168B28E9"/>
    <w:rsid w:val="16BB079F"/>
    <w:rsid w:val="17361246"/>
    <w:rsid w:val="174907C9"/>
    <w:rsid w:val="19151AC7"/>
    <w:rsid w:val="193163BA"/>
    <w:rsid w:val="19801636"/>
    <w:rsid w:val="19C07C84"/>
    <w:rsid w:val="1A10558B"/>
    <w:rsid w:val="1B233D3D"/>
    <w:rsid w:val="1B26620D"/>
    <w:rsid w:val="1C055E22"/>
    <w:rsid w:val="1C984EE8"/>
    <w:rsid w:val="1CE26164"/>
    <w:rsid w:val="1D602818"/>
    <w:rsid w:val="1D660B43"/>
    <w:rsid w:val="1DB92157"/>
    <w:rsid w:val="1E0760C3"/>
    <w:rsid w:val="1E2F53D8"/>
    <w:rsid w:val="1ECB3353"/>
    <w:rsid w:val="1F764D61"/>
    <w:rsid w:val="20161657"/>
    <w:rsid w:val="202A40A9"/>
    <w:rsid w:val="20315438"/>
    <w:rsid w:val="207A2CBA"/>
    <w:rsid w:val="21E40288"/>
    <w:rsid w:val="224F3AF6"/>
    <w:rsid w:val="226715E5"/>
    <w:rsid w:val="2296771B"/>
    <w:rsid w:val="22A2261D"/>
    <w:rsid w:val="236E3D27"/>
    <w:rsid w:val="238560D7"/>
    <w:rsid w:val="242B4894"/>
    <w:rsid w:val="24AC7A77"/>
    <w:rsid w:val="24DA2BBE"/>
    <w:rsid w:val="25090731"/>
    <w:rsid w:val="25237319"/>
    <w:rsid w:val="255708B7"/>
    <w:rsid w:val="25D647F8"/>
    <w:rsid w:val="26647BE9"/>
    <w:rsid w:val="272E0923"/>
    <w:rsid w:val="273C5759"/>
    <w:rsid w:val="27B70919"/>
    <w:rsid w:val="27E17743"/>
    <w:rsid w:val="28060C67"/>
    <w:rsid w:val="28F9550D"/>
    <w:rsid w:val="296A19BB"/>
    <w:rsid w:val="29B175E9"/>
    <w:rsid w:val="29C70BBB"/>
    <w:rsid w:val="2A743763"/>
    <w:rsid w:val="2B9920E3"/>
    <w:rsid w:val="2BA95EBC"/>
    <w:rsid w:val="2BB0716F"/>
    <w:rsid w:val="2BD3443B"/>
    <w:rsid w:val="2D800808"/>
    <w:rsid w:val="2E935510"/>
    <w:rsid w:val="2FF91C11"/>
    <w:rsid w:val="305317E8"/>
    <w:rsid w:val="30CC4D09"/>
    <w:rsid w:val="31B23EFF"/>
    <w:rsid w:val="31BE0AF5"/>
    <w:rsid w:val="31D43E75"/>
    <w:rsid w:val="321008CE"/>
    <w:rsid w:val="325154C6"/>
    <w:rsid w:val="33FC76B3"/>
    <w:rsid w:val="340910B7"/>
    <w:rsid w:val="340C5B48"/>
    <w:rsid w:val="34311A53"/>
    <w:rsid w:val="34B14942"/>
    <w:rsid w:val="34BB131C"/>
    <w:rsid w:val="34BF0E0C"/>
    <w:rsid w:val="35702A80"/>
    <w:rsid w:val="35E72927"/>
    <w:rsid w:val="371B1227"/>
    <w:rsid w:val="37503F9E"/>
    <w:rsid w:val="376161AB"/>
    <w:rsid w:val="390A2872"/>
    <w:rsid w:val="39785A2E"/>
    <w:rsid w:val="39D0586A"/>
    <w:rsid w:val="3A9B7C26"/>
    <w:rsid w:val="3AA54601"/>
    <w:rsid w:val="3B225C51"/>
    <w:rsid w:val="3B31462E"/>
    <w:rsid w:val="3B581673"/>
    <w:rsid w:val="3B914B85"/>
    <w:rsid w:val="3BC907C3"/>
    <w:rsid w:val="3C7050E2"/>
    <w:rsid w:val="3CD613E9"/>
    <w:rsid w:val="3CDB50AA"/>
    <w:rsid w:val="3D070254"/>
    <w:rsid w:val="3D94095C"/>
    <w:rsid w:val="3F2D7618"/>
    <w:rsid w:val="3F7029B8"/>
    <w:rsid w:val="3FD5624B"/>
    <w:rsid w:val="403F3B8A"/>
    <w:rsid w:val="41297BBD"/>
    <w:rsid w:val="412A1D04"/>
    <w:rsid w:val="418F600A"/>
    <w:rsid w:val="41967399"/>
    <w:rsid w:val="41B91637"/>
    <w:rsid w:val="42426BD9"/>
    <w:rsid w:val="42656804"/>
    <w:rsid w:val="42800C1C"/>
    <w:rsid w:val="431467C7"/>
    <w:rsid w:val="431B26A6"/>
    <w:rsid w:val="433724B6"/>
    <w:rsid w:val="438A6A89"/>
    <w:rsid w:val="449F6565"/>
    <w:rsid w:val="44CC6C2E"/>
    <w:rsid w:val="45DC10F2"/>
    <w:rsid w:val="46054AED"/>
    <w:rsid w:val="46547ECF"/>
    <w:rsid w:val="46CB3641"/>
    <w:rsid w:val="470D33BE"/>
    <w:rsid w:val="47376F28"/>
    <w:rsid w:val="47D532CB"/>
    <w:rsid w:val="48FC0332"/>
    <w:rsid w:val="49F92273"/>
    <w:rsid w:val="49FD6A0D"/>
    <w:rsid w:val="4AC629FC"/>
    <w:rsid w:val="4B5D2CD5"/>
    <w:rsid w:val="4BFC056A"/>
    <w:rsid w:val="4BFE6267"/>
    <w:rsid w:val="4C5144B4"/>
    <w:rsid w:val="4D4D1254"/>
    <w:rsid w:val="4D5A127B"/>
    <w:rsid w:val="4E8C5ECA"/>
    <w:rsid w:val="4FC1444E"/>
    <w:rsid w:val="502239D1"/>
    <w:rsid w:val="505D7A63"/>
    <w:rsid w:val="50C57353"/>
    <w:rsid w:val="51071719"/>
    <w:rsid w:val="51271DBC"/>
    <w:rsid w:val="516E1798"/>
    <w:rsid w:val="52195BA8"/>
    <w:rsid w:val="525941F7"/>
    <w:rsid w:val="53232554"/>
    <w:rsid w:val="532A1835"/>
    <w:rsid w:val="53BD36C9"/>
    <w:rsid w:val="53C80DCD"/>
    <w:rsid w:val="540C7047"/>
    <w:rsid w:val="5425781E"/>
    <w:rsid w:val="542E16B3"/>
    <w:rsid w:val="54905ECA"/>
    <w:rsid w:val="54D44008"/>
    <w:rsid w:val="55CD6AD3"/>
    <w:rsid w:val="55DF0EB7"/>
    <w:rsid w:val="56301712"/>
    <w:rsid w:val="56B26C9A"/>
    <w:rsid w:val="576176AA"/>
    <w:rsid w:val="577338B7"/>
    <w:rsid w:val="57807FB8"/>
    <w:rsid w:val="57EA769F"/>
    <w:rsid w:val="58355079"/>
    <w:rsid w:val="583D2821"/>
    <w:rsid w:val="584119B5"/>
    <w:rsid w:val="58B33F35"/>
    <w:rsid w:val="5A025174"/>
    <w:rsid w:val="5ABC1175"/>
    <w:rsid w:val="5B5F11CE"/>
    <w:rsid w:val="5BAD55B3"/>
    <w:rsid w:val="5BD4669C"/>
    <w:rsid w:val="5C7B1A0A"/>
    <w:rsid w:val="5CDD2880"/>
    <w:rsid w:val="5D30024A"/>
    <w:rsid w:val="5D5757D7"/>
    <w:rsid w:val="5D6B2B94"/>
    <w:rsid w:val="5DBB5D65"/>
    <w:rsid w:val="5DD9180F"/>
    <w:rsid w:val="5E4C2E61"/>
    <w:rsid w:val="5F7A755A"/>
    <w:rsid w:val="5F9525E6"/>
    <w:rsid w:val="5F9A62A0"/>
    <w:rsid w:val="5FF217E7"/>
    <w:rsid w:val="60200102"/>
    <w:rsid w:val="6031230F"/>
    <w:rsid w:val="60377959"/>
    <w:rsid w:val="61A02E98"/>
    <w:rsid w:val="61C84EF5"/>
    <w:rsid w:val="62946B85"/>
    <w:rsid w:val="63260125"/>
    <w:rsid w:val="63503555"/>
    <w:rsid w:val="635B76A3"/>
    <w:rsid w:val="63754C08"/>
    <w:rsid w:val="63AF3EC4"/>
    <w:rsid w:val="63E54A28"/>
    <w:rsid w:val="63FF1590"/>
    <w:rsid w:val="648A2B19"/>
    <w:rsid w:val="64A37553"/>
    <w:rsid w:val="64F34037"/>
    <w:rsid w:val="65363F24"/>
    <w:rsid w:val="65D07B0C"/>
    <w:rsid w:val="66961C35"/>
    <w:rsid w:val="66D81D68"/>
    <w:rsid w:val="67340937"/>
    <w:rsid w:val="67892A30"/>
    <w:rsid w:val="680B78E9"/>
    <w:rsid w:val="68376930"/>
    <w:rsid w:val="68ED5241"/>
    <w:rsid w:val="69196036"/>
    <w:rsid w:val="69F65A5F"/>
    <w:rsid w:val="6A3F7D1E"/>
    <w:rsid w:val="6A8F4802"/>
    <w:rsid w:val="6ABB660F"/>
    <w:rsid w:val="6B2111D2"/>
    <w:rsid w:val="6B43383E"/>
    <w:rsid w:val="6C613F7C"/>
    <w:rsid w:val="6CD26C28"/>
    <w:rsid w:val="6E867CCA"/>
    <w:rsid w:val="6EA711FC"/>
    <w:rsid w:val="6F0357BE"/>
    <w:rsid w:val="6F226A87"/>
    <w:rsid w:val="6F3A07FE"/>
    <w:rsid w:val="6F6B5112"/>
    <w:rsid w:val="6FAE7E27"/>
    <w:rsid w:val="6FEA4288"/>
    <w:rsid w:val="7104581E"/>
    <w:rsid w:val="719374FA"/>
    <w:rsid w:val="72065D91"/>
    <w:rsid w:val="727918F3"/>
    <w:rsid w:val="72F97729"/>
    <w:rsid w:val="734D525A"/>
    <w:rsid w:val="743C0E2B"/>
    <w:rsid w:val="74B66881"/>
    <w:rsid w:val="75D02172"/>
    <w:rsid w:val="7615092E"/>
    <w:rsid w:val="763F698D"/>
    <w:rsid w:val="7650466E"/>
    <w:rsid w:val="77297D8C"/>
    <w:rsid w:val="77B238DE"/>
    <w:rsid w:val="78250553"/>
    <w:rsid w:val="797177C8"/>
    <w:rsid w:val="79D833A4"/>
    <w:rsid w:val="7A410F49"/>
    <w:rsid w:val="7ACA7597"/>
    <w:rsid w:val="7AE00762"/>
    <w:rsid w:val="7AF406B1"/>
    <w:rsid w:val="7B024B7C"/>
    <w:rsid w:val="7BCE6D01"/>
    <w:rsid w:val="7C52777D"/>
    <w:rsid w:val="7D284642"/>
    <w:rsid w:val="7D292894"/>
    <w:rsid w:val="7D4F7E21"/>
    <w:rsid w:val="7F2F7F0A"/>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table" w:customStyle="1" w:styleId="235">
    <w:name w:val="Table Normal"/>
    <w:autoRedefine/>
    <w:semiHidden/>
    <w:unhideWhenUsed/>
    <w:qFormat/>
    <w:uiPriority w:val="0"/>
    <w:tblPr>
      <w:tblCellMar>
        <w:top w:w="0" w:type="dxa"/>
        <w:left w:w="0" w:type="dxa"/>
        <w:bottom w:w="0" w:type="dxa"/>
        <w:right w:w="0" w:type="dxa"/>
      </w:tblCellMar>
    </w:tblPr>
  </w:style>
  <w:style w:type="paragraph" w:customStyle="1" w:styleId="236">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2251</Words>
  <Characters>2675</Characters>
  <Lines>25</Lines>
  <Paragraphs>7</Paragraphs>
  <TotalTime>241</TotalTime>
  <ScaleCrop>false</ScaleCrop>
  <LinksUpToDate>false</LinksUpToDate>
  <CharactersWithSpaces>3067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企业用户_1355415954</cp:lastModifiedBy>
  <cp:lastPrinted>2021-02-02T08:22:00Z</cp:lastPrinted>
  <dcterms:modified xsi:type="dcterms:W3CDTF">2024-05-28T07:11:42Z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97872A7338E741B089880BF7C3DF10D2_13</vt:lpwstr>
  </property>
</Properties>
</file>