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35129">
      <w:pPr>
        <w:spacing w:line="360" w:lineRule="auto"/>
        <w:jc w:val="center"/>
        <w:rPr>
          <w:rFonts w:hint="eastAsia" w:ascii="宋体" w:hAnsi="宋体" w:eastAsia="宋体" w:cs="宋体"/>
          <w:b/>
          <w:bCs/>
          <w:sz w:val="36"/>
          <w:szCs w:val="36"/>
          <w:lang w:val="en-US" w:eastAsia="zh-CN"/>
        </w:rPr>
      </w:pPr>
      <w:r>
        <w:rPr>
          <w:rFonts w:hint="eastAsia" w:ascii="黑体" w:hAnsi="黑体" w:eastAsia="黑体" w:cs="黑体"/>
          <w:b w:val="0"/>
          <w:bCs w:val="0"/>
          <w:sz w:val="36"/>
          <w:szCs w:val="36"/>
          <w:lang w:val="en-US" w:eastAsia="zh-CN"/>
        </w:rPr>
        <w:t>《水果分级标准  白糖罂荔枝》编制说明</w:t>
      </w:r>
    </w:p>
    <w:p w14:paraId="45014F55">
      <w:pPr>
        <w:numPr>
          <w:ilvl w:val="0"/>
          <w:numId w:val="0"/>
        </w:numPr>
        <w:spacing w:line="360" w:lineRule="auto"/>
        <w:rPr>
          <w:rFonts w:hint="eastAsia" w:ascii="黑体" w:hAnsi="黑体" w:eastAsia="黑体" w:cs="黑体"/>
          <w:sz w:val="32"/>
          <w:szCs w:val="32"/>
          <w:lang w:eastAsia="zh-CN"/>
        </w:rPr>
      </w:pPr>
      <w:r>
        <w:rPr>
          <w:rFonts w:hint="eastAsia" w:ascii="黑体" w:hAnsi="黑体" w:eastAsia="黑体" w:cs="黑体"/>
          <w:sz w:val="32"/>
          <w:szCs w:val="32"/>
          <w:lang w:eastAsia="zh-CN"/>
        </w:rPr>
        <w:t>一、基本情况</w:t>
      </w:r>
    </w:p>
    <w:p w14:paraId="01203778">
      <w:pPr>
        <w:numPr>
          <w:ilvl w:val="0"/>
          <w:numId w:val="0"/>
        </w:numPr>
        <w:spacing w:line="360" w:lineRule="auto"/>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（一）任务来源</w:t>
      </w:r>
    </w:p>
    <w:p w14:paraId="2DD86F5B">
      <w:pPr>
        <w:numPr>
          <w:ilvl w:val="0"/>
          <w:numId w:val="0"/>
        </w:numPr>
        <w:spacing w:line="360" w:lineRule="auto"/>
        <w:ind w:firstLine="640"/>
        <w:rPr>
          <w:rFonts w:hint="default" w:ascii="仿宋_GB2312" w:eastAsia="仿宋_GB2312"/>
          <w:sz w:val="32"/>
          <w:szCs w:val="32"/>
          <w:lang w:val="en-US" w:eastAsia="zh-CN"/>
        </w:rPr>
      </w:pPr>
      <w:r>
        <w:rPr>
          <w:rFonts w:hint="default" w:ascii="仿宋_GB2312" w:eastAsia="仿宋_GB2312"/>
          <w:sz w:val="32"/>
          <w:szCs w:val="32"/>
          <w:lang w:val="en-US" w:eastAsia="zh-CN"/>
        </w:rPr>
        <w:t>为落实农业农村部关于加快水果提档升级的有关部署，加强</w:t>
      </w:r>
      <w:r>
        <w:rPr>
          <w:rFonts w:hint="eastAsia" w:ascii="仿宋_GB2312" w:eastAsia="仿宋_GB2312"/>
          <w:sz w:val="32"/>
          <w:szCs w:val="32"/>
          <w:lang w:val="en-US" w:eastAsia="zh-CN"/>
        </w:rPr>
        <w:t>按照</w:t>
      </w:r>
      <w:r>
        <w:rPr>
          <w:rFonts w:hint="default" w:ascii="仿宋_GB2312" w:eastAsia="仿宋_GB2312"/>
          <w:sz w:val="32"/>
          <w:szCs w:val="32"/>
          <w:lang w:val="en-US" w:eastAsia="zh-CN"/>
        </w:rPr>
        <w:t>深圳市市场监督管理局</w:t>
      </w:r>
      <w:r>
        <w:rPr>
          <w:rFonts w:hint="eastAsia" w:ascii="仿宋_GB2312" w:eastAsia="仿宋_GB2312"/>
          <w:sz w:val="32"/>
          <w:szCs w:val="32"/>
          <w:lang w:val="en-US" w:eastAsia="zh-CN"/>
        </w:rPr>
        <w:t>关于开展《深圳市</w:t>
      </w:r>
      <w:r>
        <w:rPr>
          <w:rFonts w:hint="default" w:ascii="仿宋_GB2312" w:eastAsia="仿宋_GB2312"/>
          <w:sz w:val="32"/>
          <w:szCs w:val="32"/>
          <w:lang w:val="en-US" w:eastAsia="zh-CN"/>
        </w:rPr>
        <w:t>水果“三品一标”建设和质量安全监管</w:t>
      </w:r>
      <w:r>
        <w:rPr>
          <w:rFonts w:hint="eastAsia" w:ascii="仿宋_GB2312" w:eastAsia="仿宋_GB2312"/>
          <w:sz w:val="32"/>
          <w:szCs w:val="32"/>
          <w:lang w:val="en-US" w:eastAsia="zh-CN"/>
        </w:rPr>
        <w:t>水果质量分级试点工作方案》要求，</w:t>
      </w:r>
      <w:r>
        <w:rPr>
          <w:rFonts w:hint="eastAsia" w:ascii="Times New Roman" w:hAnsi="Times New Roman" w:eastAsia="仿宋_GB2312" w:cs="Times New Roman"/>
          <w:sz w:val="32"/>
          <w:szCs w:val="32"/>
          <w:highlight w:val="none"/>
          <w:lang w:eastAsia="zh-CN"/>
        </w:rPr>
        <w:t>成立深圳水果质量分级试点工作专班</w:t>
      </w:r>
      <w:r>
        <w:rPr>
          <w:rFonts w:hint="eastAsia" w:eastAsia="仿宋_GB2312" w:cs="Times New Roman"/>
          <w:sz w:val="32"/>
          <w:szCs w:val="32"/>
          <w:highlight w:val="none"/>
          <w:lang w:eastAsia="zh-CN"/>
        </w:rPr>
        <w:t>，由标准研制组负责制定《水果分级标准</w:t>
      </w:r>
      <w:r>
        <w:rPr>
          <w:rFonts w:hint="eastAsia" w:eastAsia="仿宋_GB2312" w:cs="Times New Roman"/>
          <w:sz w:val="32"/>
          <w:szCs w:val="32"/>
          <w:highlight w:val="none"/>
          <w:lang w:val="en-US" w:eastAsia="zh-CN"/>
        </w:rPr>
        <w:t xml:space="preserve"> 白糖罂荔枝</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w:t>
      </w:r>
    </w:p>
    <w:p w14:paraId="060A2F6B">
      <w:pPr>
        <w:numPr>
          <w:ilvl w:val="0"/>
          <w:numId w:val="1"/>
        </w:numPr>
        <w:spacing w:line="360" w:lineRule="auto"/>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起草单位、起草人</w:t>
      </w:r>
    </w:p>
    <w:p w14:paraId="13AC4407">
      <w:pPr>
        <w:numPr>
          <w:ilvl w:val="0"/>
          <w:numId w:val="0"/>
        </w:num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起草单位：</w:t>
      </w:r>
    </w:p>
    <w:p w14:paraId="70DD96A0">
      <w:pPr>
        <w:numPr>
          <w:ilvl w:val="0"/>
          <w:numId w:val="0"/>
        </w:numPr>
        <w:tabs>
          <w:tab w:val="left" w:pos="210"/>
        </w:tabs>
        <w:spacing w:line="240" w:lineRule="auto"/>
        <w:ind w:left="0" w:leftChars="0" w:firstLine="640" w:firstLineChars="200"/>
        <w:jc w:val="left"/>
        <w:rPr>
          <w:rFonts w:hint="default" w:ascii="仿宋_GB2312" w:hAnsi="Times New Roman" w:eastAsia="仿宋_GB2312" w:cs="Times New Roman"/>
          <w:kern w:val="2"/>
          <w:sz w:val="32"/>
          <w:szCs w:val="32"/>
          <w:highlight w:val="yellow"/>
          <w:lang w:val="en-US" w:eastAsia="zh-CN" w:bidi="ar-SA"/>
        </w:rPr>
      </w:pPr>
      <w:r>
        <w:rPr>
          <w:rFonts w:hint="eastAsia" w:ascii="仿宋_GB2312" w:eastAsia="仿宋_GB2312" w:cs="Times New Roman"/>
          <w:kern w:val="2"/>
          <w:sz w:val="32"/>
          <w:szCs w:val="32"/>
          <w:lang w:val="en-US" w:eastAsia="zh-CN" w:bidi="ar-SA"/>
        </w:rPr>
        <w:t>主要</w:t>
      </w:r>
      <w:r>
        <w:rPr>
          <w:rFonts w:hint="eastAsia" w:ascii="仿宋_GB2312" w:hAnsi="Times New Roman" w:eastAsia="仿宋_GB2312" w:cs="Times New Roman"/>
          <w:kern w:val="2"/>
          <w:sz w:val="32"/>
          <w:szCs w:val="32"/>
          <w:lang w:val="en-US" w:eastAsia="zh-CN" w:bidi="ar-SA"/>
        </w:rPr>
        <w:t>起草人：</w:t>
      </w:r>
    </w:p>
    <w:p w14:paraId="47FB053A">
      <w:pPr>
        <w:numPr>
          <w:ilvl w:val="0"/>
          <w:numId w:val="1"/>
        </w:numPr>
        <w:spacing w:line="360" w:lineRule="auto"/>
        <w:ind w:left="0" w:leftChars="0" w:firstLine="64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立项背景和意义</w:t>
      </w:r>
    </w:p>
    <w:p w14:paraId="5982E7F3">
      <w:pPr>
        <w:numPr>
          <w:ilvl w:val="0"/>
          <w:numId w:val="0"/>
        </w:numPr>
        <w:spacing w:line="240" w:lineRule="auto"/>
        <w:ind w:left="0" w:leftChars="0"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为适应当前农产品消费结构升级大趋势，加快构建以质量提升为核心的优质水果发展体系，根据《深圳市水果质量分级试点工作方案》要求，研制包括</w:t>
      </w:r>
      <w:r>
        <w:rPr>
          <w:rFonts w:hint="eastAsia" w:ascii="仿宋_GB2312" w:eastAsia="仿宋_GB2312"/>
          <w:sz w:val="32"/>
          <w:szCs w:val="32"/>
          <w:lang w:val="en-US" w:eastAsia="zh-CN"/>
        </w:rPr>
        <w:t>荔枝</w:t>
      </w:r>
      <w:r>
        <w:rPr>
          <w:rFonts w:hint="default" w:ascii="仿宋_GB2312" w:eastAsia="仿宋_GB2312"/>
          <w:sz w:val="32"/>
          <w:szCs w:val="32"/>
          <w:lang w:val="en-US" w:eastAsia="zh-CN"/>
        </w:rPr>
        <w:t>在内的水果质量分级标准。在深圳市农产品质量提升联盟内应用，并逐步向社会推广，推动水果产业提档升级。</w:t>
      </w:r>
    </w:p>
    <w:p w14:paraId="2B6E2C33">
      <w:pPr>
        <w:numPr>
          <w:ilvl w:val="0"/>
          <w:numId w:val="0"/>
        </w:numPr>
        <w:spacing w:line="360" w:lineRule="auto"/>
        <w:ind w:left="640" w:leftChars="0"/>
        <w:rPr>
          <w:rFonts w:hint="default" w:ascii="仿宋_GB2312" w:eastAsia="仿宋_GB2312"/>
          <w:sz w:val="32"/>
          <w:szCs w:val="32"/>
          <w:lang w:val="en-US" w:eastAsia="zh-CN"/>
        </w:rPr>
      </w:pPr>
      <w:r>
        <w:rPr>
          <w:rFonts w:hint="eastAsia" w:ascii="仿宋_GB2312" w:eastAsia="仿宋_GB2312"/>
          <w:sz w:val="32"/>
          <w:szCs w:val="32"/>
          <w:lang w:val="en-US" w:eastAsia="zh-CN"/>
        </w:rPr>
        <w:t>（四）简要起草过程</w:t>
      </w:r>
    </w:p>
    <w:p w14:paraId="5C848458">
      <w:pPr>
        <w:spacing w:line="240" w:lineRule="auto"/>
        <w:ind w:left="0" w:leftChars="0" w:firstLine="640" w:firstLineChars="200"/>
        <w:jc w:val="both"/>
        <w:rPr>
          <w:rFonts w:hint="eastAsia" w:ascii="仿宋_GB2312" w:eastAsia="仿宋_GB2312"/>
          <w:sz w:val="32"/>
          <w:szCs w:val="32"/>
        </w:rPr>
      </w:pPr>
      <w:r>
        <w:rPr>
          <w:rFonts w:hint="eastAsia" w:ascii="仿宋_GB2312" w:eastAsia="仿宋_GB2312"/>
          <w:sz w:val="32"/>
          <w:szCs w:val="32"/>
        </w:rPr>
        <w:t>接到项目委托任务后，我单位即成立了标准起草工作组，根据《</w:t>
      </w:r>
      <w:r>
        <w:rPr>
          <w:rFonts w:hint="eastAsia" w:ascii="仿宋_GB2312" w:eastAsia="仿宋_GB2312"/>
          <w:sz w:val="32"/>
          <w:szCs w:val="32"/>
          <w:lang w:val="en-US" w:eastAsia="zh-CN"/>
        </w:rPr>
        <w:t>深圳市水果质量分级试点工作方案</w:t>
      </w:r>
      <w:r>
        <w:rPr>
          <w:rFonts w:hint="eastAsia" w:ascii="仿宋_GB2312" w:eastAsia="仿宋_GB2312"/>
          <w:sz w:val="32"/>
          <w:szCs w:val="32"/>
        </w:rPr>
        <w:t>》等相关要求，制定了起草工作方案，并进行了分工落实，主要过程如下:</w:t>
      </w:r>
    </w:p>
    <w:p w14:paraId="6F6D843E">
      <w:pPr>
        <w:spacing w:line="240" w:lineRule="auto"/>
        <w:ind w:left="0" w:leftChars="0" w:firstLine="640" w:firstLineChars="200"/>
        <w:jc w:val="both"/>
        <w:rPr>
          <w:rFonts w:hint="eastAsia" w:ascii="仿宋_GB2312" w:eastAsia="仿宋_GB2312"/>
          <w:sz w:val="32"/>
          <w:szCs w:val="32"/>
          <w:lang w:eastAsia="zh-CN"/>
        </w:rPr>
      </w:pPr>
      <w:r>
        <w:rPr>
          <w:rFonts w:hint="eastAsia" w:ascii="仿宋_GB2312" w:eastAsia="仿宋_GB2312"/>
          <w:sz w:val="32"/>
          <w:szCs w:val="32"/>
          <w:lang w:val="en-US" w:eastAsia="zh-CN"/>
        </w:rPr>
        <w:t>2024年9月至12月</w:t>
      </w:r>
      <w:r>
        <w:rPr>
          <w:rFonts w:hint="eastAsia" w:ascii="仿宋_GB2312" w:eastAsia="仿宋_GB2312"/>
          <w:sz w:val="32"/>
          <w:szCs w:val="32"/>
        </w:rPr>
        <w:t>:</w:t>
      </w:r>
      <w:r>
        <w:rPr>
          <w:rFonts w:hint="eastAsia" w:ascii="仿宋_GB2312" w:eastAsia="仿宋_GB2312"/>
          <w:sz w:val="32"/>
          <w:szCs w:val="32"/>
          <w:lang w:eastAsia="zh-CN"/>
        </w:rPr>
        <w:t>对</w:t>
      </w:r>
      <w:r>
        <w:rPr>
          <w:rFonts w:hint="eastAsia" w:ascii="仿宋_GB2312" w:eastAsia="仿宋_GB2312"/>
          <w:sz w:val="32"/>
          <w:szCs w:val="32"/>
        </w:rPr>
        <w:t>国内外相关标准、论文等信息资料</w:t>
      </w:r>
      <w:r>
        <w:rPr>
          <w:rFonts w:hint="eastAsia" w:ascii="仿宋_GB2312" w:eastAsia="仿宋_GB2312"/>
          <w:sz w:val="32"/>
          <w:szCs w:val="32"/>
          <w:lang w:eastAsia="zh-CN"/>
        </w:rPr>
        <w:t>进行调研</w:t>
      </w:r>
      <w:r>
        <w:rPr>
          <w:rFonts w:hint="eastAsia" w:ascii="仿宋_GB2312" w:eastAsia="仿宋_GB2312"/>
          <w:sz w:val="32"/>
          <w:szCs w:val="32"/>
        </w:rPr>
        <w:t>，了解国内外</w:t>
      </w:r>
      <w:r>
        <w:rPr>
          <w:rFonts w:hint="eastAsia" w:ascii="仿宋_GB2312" w:eastAsia="仿宋_GB2312"/>
          <w:sz w:val="32"/>
          <w:szCs w:val="32"/>
          <w:lang w:eastAsia="zh-CN"/>
        </w:rPr>
        <w:t>荔枝</w:t>
      </w:r>
      <w:r>
        <w:rPr>
          <w:rFonts w:hint="eastAsia" w:ascii="仿宋_GB2312" w:eastAsia="仿宋_GB2312"/>
          <w:sz w:val="32"/>
          <w:szCs w:val="32"/>
        </w:rPr>
        <w:t>标准及相关研究现状</w:t>
      </w:r>
      <w:r>
        <w:rPr>
          <w:rFonts w:hint="eastAsia" w:ascii="仿宋_GB2312" w:eastAsia="仿宋_GB2312"/>
          <w:sz w:val="32"/>
          <w:szCs w:val="32"/>
          <w:lang w:eastAsia="zh-CN"/>
        </w:rPr>
        <w:t>；同时通过咨询、调研等形式了解茂名高州</w:t>
      </w:r>
      <w:r>
        <w:rPr>
          <w:rFonts w:hint="eastAsia" w:eastAsia="仿宋_GB2312" w:cs="Times New Roman"/>
          <w:sz w:val="32"/>
          <w:szCs w:val="32"/>
          <w:highlight w:val="none"/>
          <w:lang w:val="en-US" w:eastAsia="zh-CN"/>
        </w:rPr>
        <w:t>白糖罂荔枝</w:t>
      </w:r>
      <w:r>
        <w:rPr>
          <w:rFonts w:hint="eastAsia" w:ascii="仿宋_GB2312" w:eastAsia="仿宋_GB2312"/>
          <w:sz w:val="32"/>
          <w:szCs w:val="32"/>
          <w:lang w:eastAsia="zh-CN"/>
        </w:rPr>
        <w:t>的相关生产经营情况。</w:t>
      </w:r>
    </w:p>
    <w:p w14:paraId="2AEFFF98">
      <w:pPr>
        <w:spacing w:line="240" w:lineRule="auto"/>
        <w:ind w:left="0" w:leftChars="0"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2025年1月至3月</w:t>
      </w:r>
      <w:r>
        <w:rPr>
          <w:rFonts w:hint="eastAsia" w:ascii="仿宋_GB2312" w:eastAsia="仿宋_GB2312"/>
          <w:sz w:val="32"/>
          <w:szCs w:val="32"/>
        </w:rPr>
        <w:t>:</w:t>
      </w:r>
      <w:r>
        <w:rPr>
          <w:rFonts w:hint="eastAsia" w:ascii="仿宋_GB2312" w:eastAsia="仿宋_GB2312"/>
          <w:sz w:val="32"/>
          <w:szCs w:val="32"/>
          <w:lang w:eastAsia="zh-CN"/>
        </w:rPr>
        <w:t>基于调研结果，通过数据收集、标准比对等确定主要技术指标和阈值范围，完成标准编制说明及编制征求意见稿</w:t>
      </w:r>
      <w:r>
        <w:rPr>
          <w:rFonts w:hint="eastAsia" w:ascii="仿宋_GB2312" w:eastAsia="仿宋_GB2312"/>
          <w:sz w:val="32"/>
          <w:szCs w:val="32"/>
        </w:rPr>
        <w:t>。</w:t>
      </w:r>
    </w:p>
    <w:p w14:paraId="11C47EE8">
      <w:pPr>
        <w:spacing w:line="240" w:lineRule="auto"/>
        <w:ind w:left="0" w:leftChars="0"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2025年4月至5月</w:t>
      </w:r>
      <w:r>
        <w:rPr>
          <w:rFonts w:hint="eastAsia" w:ascii="仿宋_GB2312" w:eastAsia="仿宋_GB2312"/>
          <w:sz w:val="32"/>
          <w:szCs w:val="32"/>
        </w:rPr>
        <w:t>:</w:t>
      </w:r>
      <w:r>
        <w:rPr>
          <w:rFonts w:hint="eastAsia" w:ascii="仿宋_GB2312" w:eastAsia="仿宋_GB2312"/>
          <w:sz w:val="32"/>
          <w:szCs w:val="32"/>
          <w:lang w:eastAsia="zh-CN"/>
        </w:rPr>
        <w:t>对标准进行立项并公开征求意见，</w:t>
      </w:r>
      <w:r>
        <w:rPr>
          <w:rFonts w:hint="eastAsia" w:ascii="仿宋_GB2312" w:eastAsia="仿宋_GB2312"/>
          <w:sz w:val="32"/>
          <w:szCs w:val="32"/>
        </w:rPr>
        <w:t>根据</w:t>
      </w:r>
      <w:r>
        <w:rPr>
          <w:rFonts w:hint="eastAsia" w:ascii="仿宋_GB2312" w:eastAsia="仿宋_GB2312"/>
          <w:sz w:val="32"/>
          <w:szCs w:val="32"/>
          <w:lang w:eastAsia="zh-CN"/>
        </w:rPr>
        <w:t>反馈</w:t>
      </w:r>
      <w:r>
        <w:rPr>
          <w:rFonts w:hint="eastAsia" w:ascii="仿宋_GB2312" w:eastAsia="仿宋_GB2312"/>
          <w:sz w:val="32"/>
          <w:szCs w:val="32"/>
        </w:rPr>
        <w:t>意见进行汇总修改，形成标准送审稿</w:t>
      </w:r>
      <w:r>
        <w:rPr>
          <w:rFonts w:hint="eastAsia" w:ascii="仿宋_GB2312" w:eastAsia="仿宋_GB2312"/>
          <w:sz w:val="32"/>
          <w:szCs w:val="32"/>
          <w:lang w:eastAsia="zh-CN"/>
        </w:rPr>
        <w:t>供</w:t>
      </w:r>
      <w:r>
        <w:rPr>
          <w:rFonts w:hint="eastAsia" w:ascii="仿宋_GB2312" w:eastAsia="仿宋_GB2312"/>
          <w:sz w:val="32"/>
          <w:szCs w:val="32"/>
        </w:rPr>
        <w:t>专家评审</w:t>
      </w:r>
      <w:r>
        <w:rPr>
          <w:rFonts w:hint="eastAsia" w:ascii="仿宋_GB2312" w:eastAsia="仿宋_GB2312"/>
          <w:sz w:val="32"/>
          <w:szCs w:val="32"/>
          <w:lang w:eastAsia="zh-CN"/>
        </w:rPr>
        <w:t>，</w:t>
      </w:r>
      <w:r>
        <w:rPr>
          <w:rFonts w:hint="eastAsia" w:ascii="仿宋_GB2312" w:eastAsia="仿宋_GB2312"/>
          <w:sz w:val="32"/>
          <w:szCs w:val="32"/>
        </w:rPr>
        <w:t>根据评审意见完善标准，形成标准报批稿报送相关单位报批。</w:t>
      </w:r>
    </w:p>
    <w:p w14:paraId="017C4A77">
      <w:pPr>
        <w:numPr>
          <w:ilvl w:val="0"/>
          <w:numId w:val="2"/>
        </w:numPr>
        <w:spacing w:line="360" w:lineRule="auto"/>
        <w:rPr>
          <w:rFonts w:hint="eastAsia" w:ascii="黑体" w:hAnsi="黑体" w:eastAsia="黑体" w:cs="黑体"/>
          <w:sz w:val="32"/>
          <w:szCs w:val="32"/>
          <w:lang w:eastAsia="zh-CN"/>
        </w:rPr>
      </w:pPr>
      <w:r>
        <w:rPr>
          <w:rFonts w:hint="eastAsia" w:ascii="黑体" w:hAnsi="黑体" w:eastAsia="黑体" w:cs="黑体"/>
          <w:sz w:val="32"/>
          <w:szCs w:val="32"/>
          <w:lang w:eastAsia="zh-CN"/>
        </w:rPr>
        <w:t>与现行有关法律法规和其他标准的关系</w:t>
      </w:r>
    </w:p>
    <w:p w14:paraId="32F3A293">
      <w:pPr>
        <w:numPr>
          <w:ilvl w:val="0"/>
          <w:numId w:val="0"/>
        </w:numPr>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（一）与现行法律、法规的关系</w:t>
      </w:r>
    </w:p>
    <w:p w14:paraId="2FB1DEEB">
      <w:pPr>
        <w:numPr>
          <w:ilvl w:val="0"/>
          <w:numId w:val="0"/>
        </w:numPr>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本标准是以我国相关法律、法规和标准为基础，依据《中华人民共和国农产品质量安全法》、《中华人民共和国食品安全法》，</w:t>
      </w:r>
      <w:r>
        <w:rPr>
          <w:rFonts w:hint="eastAsia" w:ascii="仿宋_GB2312" w:eastAsia="仿宋_GB2312"/>
          <w:sz w:val="32"/>
          <w:szCs w:val="32"/>
          <w:lang w:val="en-US" w:eastAsia="zh-CN"/>
        </w:rPr>
        <w:t>结合</w:t>
      </w:r>
      <w:r>
        <w:rPr>
          <w:rFonts w:hint="eastAsia" w:ascii="仿宋_GB2312" w:eastAsia="仿宋_GB2312"/>
          <w:sz w:val="32"/>
          <w:szCs w:val="32"/>
          <w:lang w:eastAsia="zh-CN"/>
        </w:rPr>
        <w:t>“深圳企业+市外</w:t>
      </w:r>
      <w:r>
        <w:rPr>
          <w:rFonts w:hint="eastAsia" w:ascii="仿宋_GB2312" w:eastAsia="仿宋_GB2312"/>
          <w:sz w:val="32"/>
          <w:szCs w:val="32"/>
          <w:lang w:val="en-US" w:eastAsia="zh-CN"/>
        </w:rPr>
        <w:t>种植</w:t>
      </w:r>
      <w:r>
        <w:rPr>
          <w:rFonts w:hint="eastAsia" w:ascii="仿宋_GB2312" w:eastAsia="仿宋_GB2312"/>
          <w:sz w:val="32"/>
          <w:szCs w:val="32"/>
          <w:lang w:eastAsia="zh-CN"/>
        </w:rPr>
        <w:t>”</w:t>
      </w:r>
      <w:r>
        <w:rPr>
          <w:rFonts w:hint="eastAsia" w:ascii="仿宋_GB2312" w:eastAsia="仿宋_GB2312"/>
          <w:sz w:val="32"/>
          <w:szCs w:val="32"/>
          <w:lang w:val="en-US" w:eastAsia="zh-CN"/>
        </w:rPr>
        <w:t>发展模式</w:t>
      </w:r>
      <w:r>
        <w:rPr>
          <w:rFonts w:hint="eastAsia" w:ascii="仿宋_GB2312" w:eastAsia="仿宋_GB2312"/>
          <w:sz w:val="32"/>
          <w:szCs w:val="32"/>
          <w:lang w:eastAsia="zh-CN"/>
        </w:rPr>
        <w:t>和国内</w:t>
      </w:r>
      <w:r>
        <w:rPr>
          <w:rFonts w:hint="eastAsia" w:eastAsia="仿宋_GB2312" w:cs="Times New Roman"/>
          <w:sz w:val="32"/>
          <w:szCs w:val="32"/>
          <w:highlight w:val="none"/>
          <w:lang w:val="en-US" w:eastAsia="zh-CN"/>
        </w:rPr>
        <w:t>白糖罂荔枝</w:t>
      </w:r>
      <w:r>
        <w:rPr>
          <w:rFonts w:hint="eastAsia" w:ascii="仿宋_GB2312" w:eastAsia="仿宋_GB2312"/>
          <w:sz w:val="32"/>
          <w:szCs w:val="32"/>
          <w:lang w:eastAsia="zh-CN"/>
        </w:rPr>
        <w:t>行业发展需要制定出来的推荐性标准，是为适应新形势下国家对水果产业高质量发展需要而提出与制定的，与现行法律法规无冲突。</w:t>
      </w:r>
    </w:p>
    <w:p w14:paraId="29C19FD3">
      <w:pPr>
        <w:pStyle w:val="5"/>
        <w:numPr>
          <w:ilvl w:val="0"/>
          <w:numId w:val="3"/>
        </w:numPr>
        <w:ind w:left="0" w:leftChars="0"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食品安全国家标准、国家标准、行业标准等现行标准的关系</w:t>
      </w:r>
    </w:p>
    <w:p w14:paraId="4B2332F5">
      <w:pPr>
        <w:pStyle w:val="5"/>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eastAsia="宋体"/>
          <w:sz w:val="32"/>
          <w:szCs w:val="32"/>
          <w:lang w:val="en-US" w:eastAsia="zh-CN"/>
        </w:rPr>
      </w:pPr>
      <w:r>
        <w:rPr>
          <w:rFonts w:hint="eastAsia" w:ascii="仿宋_GB2312" w:eastAsia="仿宋_GB2312"/>
          <w:sz w:val="32"/>
          <w:szCs w:val="32"/>
          <w:lang w:val="en-US" w:eastAsia="zh-CN"/>
        </w:rPr>
        <w:t xml:space="preserve"> 通过对比GH/T 1185-2020《鲜荔枝》、NY/T 1648-2015《荔枝等级规格》、NY/T 515-2002 《荔枝》、SN/T 0796-2010 《出口荔枝检验检疫规程》等国内荔枝现行有效的行业标准、团体标准，本标准与目前涉及荔枝相关</w:t>
      </w:r>
      <w:r>
        <w:rPr>
          <w:rFonts w:hint="eastAsia" w:ascii="仿宋_GB2312" w:eastAsia="仿宋_GB2312"/>
          <w:sz w:val="32"/>
          <w:szCs w:val="32"/>
          <w:lang w:eastAsia="zh-CN"/>
        </w:rPr>
        <w:t>行业标准、团体标准等</w:t>
      </w:r>
      <w:r>
        <w:rPr>
          <w:rFonts w:hint="eastAsia" w:ascii="仿宋_GB2312" w:eastAsia="仿宋_GB2312"/>
          <w:sz w:val="32"/>
          <w:szCs w:val="32"/>
          <w:lang w:val="en-US" w:eastAsia="zh-CN"/>
        </w:rPr>
        <w:t>无冲突。</w:t>
      </w:r>
    </w:p>
    <w:p w14:paraId="4412C44D">
      <w:pPr>
        <w:pStyle w:val="5"/>
        <w:numPr>
          <w:ilvl w:val="0"/>
          <w:numId w:val="3"/>
        </w:numPr>
        <w:ind w:left="0" w:leftChars="0"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与国外标准的关系</w:t>
      </w:r>
    </w:p>
    <w:p w14:paraId="7CAB1D96">
      <w:pPr>
        <w:pStyle w:val="5"/>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lang w:eastAsia="zh-CN"/>
        </w:rPr>
      </w:pPr>
      <w:r>
        <w:rPr>
          <w:rFonts w:hint="eastAsia" w:ascii="仿宋_GB2312" w:eastAsia="仿宋_GB2312"/>
          <w:sz w:val="32"/>
          <w:szCs w:val="32"/>
          <w:lang w:eastAsia="zh-CN"/>
        </w:rPr>
        <w:t>通过对比</w:t>
      </w:r>
      <w:r>
        <w:rPr>
          <w:rFonts w:hint="eastAsia" w:ascii="仿宋_GB2312" w:eastAsia="仿宋_GB2312"/>
          <w:sz w:val="32"/>
          <w:szCs w:val="32"/>
          <w:lang w:val="en-US" w:eastAsia="zh-CN"/>
        </w:rPr>
        <w:t>Codex standard for litchi (Codex stan 196-1995)《国际食品法典标准荔枝》</w:t>
      </w:r>
      <w:r>
        <w:rPr>
          <w:rFonts w:hint="eastAsia" w:ascii="仿宋_GB2312" w:eastAsia="仿宋_GB2312"/>
          <w:sz w:val="32"/>
          <w:szCs w:val="32"/>
          <w:lang w:eastAsia="zh-CN"/>
        </w:rPr>
        <w:t>等国外标准，本标准与国外标准无冲突。</w:t>
      </w:r>
    </w:p>
    <w:p w14:paraId="06094DFB">
      <w:pPr>
        <w:numPr>
          <w:ilvl w:val="0"/>
          <w:numId w:val="2"/>
        </w:numPr>
        <w:spacing w:line="360" w:lineRule="auto"/>
        <w:rPr>
          <w:rFonts w:hint="eastAsia" w:ascii="黑体" w:hAnsi="黑体" w:eastAsia="黑体" w:cs="黑体"/>
          <w:sz w:val="32"/>
          <w:szCs w:val="32"/>
          <w:lang w:eastAsia="zh-CN"/>
        </w:rPr>
      </w:pPr>
      <w:r>
        <w:rPr>
          <w:rFonts w:hint="eastAsia" w:ascii="黑体" w:hAnsi="黑体" w:eastAsia="黑体" w:cs="黑体"/>
          <w:sz w:val="32"/>
          <w:szCs w:val="32"/>
          <w:lang w:eastAsia="zh-CN"/>
        </w:rPr>
        <w:t>主要技术内容确定依据</w:t>
      </w:r>
    </w:p>
    <w:p w14:paraId="23D08B40">
      <w:pPr>
        <w:numPr>
          <w:ilvl w:val="0"/>
          <w:numId w:val="4"/>
        </w:numPr>
        <w:spacing w:line="360" w:lineRule="auto"/>
        <w:ind w:left="640" w:leftChars="0" w:firstLine="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标准编制原则</w:t>
      </w:r>
    </w:p>
    <w:p w14:paraId="2FAD3719">
      <w:pPr>
        <w:numPr>
          <w:ilvl w:val="0"/>
          <w:numId w:val="0"/>
        </w:numPr>
        <w:spacing w:line="240" w:lineRule="auto"/>
        <w:ind w:left="0" w:leftChars="0"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本标准的编制遵循科学性、规范性、适用性和可操作性原则，标准按GB/T 1. 1《标准化工作导则第1部分:标准的结构和编写》给出的规则进行起草。</w:t>
      </w:r>
    </w:p>
    <w:p w14:paraId="52AC5A9D">
      <w:pPr>
        <w:numPr>
          <w:ilvl w:val="0"/>
          <w:numId w:val="0"/>
        </w:numPr>
        <w:spacing w:line="240" w:lineRule="auto"/>
        <w:ind w:left="0" w:leftChars="0"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标准内容制定遵循以下原则:</w:t>
      </w:r>
      <w:r>
        <w:rPr>
          <w:rFonts w:hint="eastAsia" w:ascii="仿宋_GB2312" w:eastAsia="仿宋_GB2312"/>
          <w:sz w:val="32"/>
          <w:szCs w:val="32"/>
          <w:lang w:val="en-US" w:eastAsia="zh-CN"/>
        </w:rPr>
        <w:t>追溯要求</w:t>
      </w:r>
      <w:r>
        <w:rPr>
          <w:rFonts w:hint="default" w:ascii="仿宋_GB2312" w:eastAsia="仿宋_GB2312"/>
          <w:sz w:val="32"/>
          <w:szCs w:val="32"/>
          <w:lang w:val="en-US" w:eastAsia="zh-CN"/>
        </w:rPr>
        <w:t>、</w:t>
      </w:r>
      <w:r>
        <w:rPr>
          <w:rFonts w:hint="eastAsia" w:ascii="仿宋_GB2312" w:eastAsia="仿宋_GB2312"/>
          <w:sz w:val="32"/>
          <w:szCs w:val="32"/>
          <w:lang w:val="en-US" w:eastAsia="zh-CN"/>
        </w:rPr>
        <w:t>安全要求</w:t>
      </w:r>
      <w:r>
        <w:rPr>
          <w:rFonts w:hint="default" w:ascii="仿宋_GB2312" w:eastAsia="仿宋_GB2312"/>
          <w:sz w:val="32"/>
          <w:szCs w:val="32"/>
          <w:lang w:val="en-US" w:eastAsia="zh-CN"/>
        </w:rPr>
        <w:t>、</w:t>
      </w:r>
      <w:r>
        <w:rPr>
          <w:rFonts w:hint="eastAsia" w:ascii="仿宋_GB2312" w:eastAsia="仿宋_GB2312"/>
          <w:sz w:val="32"/>
          <w:szCs w:val="32"/>
          <w:lang w:val="en-US" w:eastAsia="zh-CN"/>
        </w:rPr>
        <w:t>外观要求</w:t>
      </w:r>
      <w:r>
        <w:rPr>
          <w:rFonts w:hint="default" w:ascii="仿宋_GB2312" w:eastAsia="仿宋_GB2312"/>
          <w:sz w:val="32"/>
          <w:szCs w:val="32"/>
          <w:lang w:val="en-US" w:eastAsia="zh-CN"/>
        </w:rPr>
        <w:t>等指标在符合</w:t>
      </w:r>
      <w:r>
        <w:rPr>
          <w:rFonts w:hint="eastAsia" w:ascii="仿宋_GB2312" w:eastAsia="仿宋_GB2312"/>
          <w:sz w:val="32"/>
          <w:szCs w:val="32"/>
          <w:lang w:eastAsia="zh-CN"/>
        </w:rPr>
        <w:t>《中华人民共和国农产品质量安全法》、</w:t>
      </w:r>
      <w:r>
        <w:rPr>
          <w:rFonts w:hint="default" w:ascii="仿宋_GB2312" w:eastAsia="仿宋_GB2312"/>
          <w:sz w:val="32"/>
          <w:szCs w:val="32"/>
          <w:lang w:val="en-US" w:eastAsia="zh-CN"/>
        </w:rPr>
        <w:t>食品安全国家标准前提下，结合</w:t>
      </w:r>
      <w:r>
        <w:rPr>
          <w:rFonts w:hint="eastAsia" w:ascii="仿宋_GB2312" w:eastAsia="仿宋_GB2312"/>
          <w:sz w:val="32"/>
          <w:szCs w:val="32"/>
          <w:lang w:val="en-US" w:eastAsia="zh-CN"/>
        </w:rPr>
        <w:t>深圳市</w:t>
      </w:r>
      <w:r>
        <w:rPr>
          <w:rFonts w:hint="default" w:ascii="仿宋_GB2312" w:eastAsia="仿宋_GB2312"/>
          <w:sz w:val="32"/>
          <w:szCs w:val="32"/>
          <w:lang w:val="en-US" w:eastAsia="zh-CN"/>
        </w:rPr>
        <w:t>实际需求、比较分析国家标准、行业标准、地方标准，在保证技术指标科学性的前提下，选用更严格的指标</w:t>
      </w:r>
      <w:r>
        <w:rPr>
          <w:rFonts w:hint="eastAsia" w:ascii="仿宋_GB2312" w:eastAsia="仿宋_GB2312"/>
          <w:sz w:val="32"/>
          <w:szCs w:val="32"/>
          <w:lang w:val="en-US" w:eastAsia="zh-CN"/>
        </w:rPr>
        <w:t>；</w:t>
      </w:r>
      <w:r>
        <w:rPr>
          <w:rFonts w:hint="default" w:ascii="仿宋_GB2312" w:eastAsia="仿宋_GB2312"/>
          <w:sz w:val="32"/>
          <w:szCs w:val="32"/>
          <w:lang w:val="en-US" w:eastAsia="zh-CN"/>
        </w:rPr>
        <w:t>遵循“科学、严谨、高品质”原则下，重点突出</w:t>
      </w:r>
      <w:r>
        <w:rPr>
          <w:rFonts w:hint="eastAsia" w:ascii="仿宋_GB2312" w:eastAsia="仿宋_GB2312"/>
          <w:sz w:val="32"/>
          <w:szCs w:val="32"/>
          <w:lang w:val="en-US" w:eastAsia="zh-CN"/>
        </w:rPr>
        <w:t>品质</w:t>
      </w:r>
      <w:r>
        <w:rPr>
          <w:rFonts w:hint="default" w:ascii="仿宋_GB2312" w:eastAsia="仿宋_GB2312"/>
          <w:sz w:val="32"/>
          <w:szCs w:val="32"/>
          <w:lang w:val="en-US" w:eastAsia="zh-CN"/>
        </w:rPr>
        <w:t>指标，形成</w:t>
      </w:r>
      <w:r>
        <w:rPr>
          <w:rFonts w:hint="eastAsia" w:ascii="仿宋_GB2312" w:eastAsia="仿宋_GB2312"/>
          <w:sz w:val="32"/>
          <w:szCs w:val="32"/>
          <w:lang w:val="en-US" w:eastAsia="zh-CN"/>
        </w:rPr>
        <w:t>在</w:t>
      </w:r>
      <w:r>
        <w:rPr>
          <w:rFonts w:hint="default" w:ascii="仿宋_GB2312" w:eastAsia="仿宋_GB2312"/>
          <w:sz w:val="32"/>
          <w:szCs w:val="32"/>
          <w:lang w:val="en-US" w:eastAsia="zh-CN"/>
        </w:rPr>
        <w:t>国家</w:t>
      </w:r>
      <w:r>
        <w:rPr>
          <w:rFonts w:hint="eastAsia" w:ascii="仿宋_GB2312" w:eastAsia="仿宋_GB2312"/>
          <w:sz w:val="32"/>
          <w:szCs w:val="32"/>
          <w:lang w:val="en-US" w:eastAsia="zh-CN"/>
        </w:rPr>
        <w:t>法律法规、</w:t>
      </w:r>
      <w:r>
        <w:rPr>
          <w:rFonts w:hint="default" w:ascii="仿宋_GB2312" w:eastAsia="仿宋_GB2312"/>
          <w:sz w:val="32"/>
          <w:szCs w:val="32"/>
          <w:lang w:val="en-US" w:eastAsia="zh-CN"/>
        </w:rPr>
        <w:t>安全标准</w:t>
      </w:r>
      <w:r>
        <w:rPr>
          <w:rFonts w:hint="eastAsia" w:ascii="仿宋_GB2312" w:eastAsia="仿宋_GB2312"/>
          <w:sz w:val="32"/>
          <w:szCs w:val="32"/>
          <w:lang w:val="en-US" w:eastAsia="zh-CN"/>
        </w:rPr>
        <w:t>的基础上，</w:t>
      </w:r>
      <w:r>
        <w:rPr>
          <w:rFonts w:hint="default" w:ascii="仿宋_GB2312" w:eastAsia="仿宋_GB2312"/>
          <w:sz w:val="32"/>
          <w:szCs w:val="32"/>
          <w:lang w:val="en-US" w:eastAsia="zh-CN"/>
        </w:rPr>
        <w:t>满足</w:t>
      </w:r>
      <w:r>
        <w:rPr>
          <w:rFonts w:hint="eastAsia" w:ascii="仿宋_GB2312" w:eastAsia="仿宋_GB2312"/>
          <w:sz w:val="32"/>
          <w:szCs w:val="32"/>
          <w:lang w:val="en-US" w:eastAsia="zh-CN"/>
        </w:rPr>
        <w:t>深圳市场</w:t>
      </w:r>
      <w:r>
        <w:rPr>
          <w:rFonts w:hint="default" w:ascii="仿宋_GB2312" w:eastAsia="仿宋_GB2312"/>
          <w:sz w:val="32"/>
          <w:szCs w:val="32"/>
          <w:lang w:val="en-US" w:eastAsia="zh-CN"/>
        </w:rPr>
        <w:t>更高要求的</w:t>
      </w:r>
      <w:r>
        <w:rPr>
          <w:rFonts w:hint="eastAsia" w:ascii="仿宋_GB2312" w:eastAsia="仿宋_GB2312"/>
          <w:sz w:val="32"/>
          <w:szCs w:val="32"/>
          <w:lang w:val="en-US" w:eastAsia="zh-CN"/>
        </w:rPr>
        <w:t>荔枝分级</w:t>
      </w:r>
      <w:r>
        <w:rPr>
          <w:rFonts w:hint="default" w:ascii="仿宋_GB2312" w:eastAsia="仿宋_GB2312"/>
          <w:sz w:val="32"/>
          <w:szCs w:val="32"/>
          <w:lang w:val="en-US" w:eastAsia="zh-CN"/>
        </w:rPr>
        <w:t>标准。</w:t>
      </w:r>
    </w:p>
    <w:p w14:paraId="413DE9FE">
      <w:pPr>
        <w:numPr>
          <w:ilvl w:val="0"/>
          <w:numId w:val="4"/>
        </w:numPr>
        <w:spacing w:line="360" w:lineRule="auto"/>
        <w:ind w:left="640" w:leftChars="0" w:firstLine="0" w:firstLineChars="0"/>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eastAsia="zh-CN"/>
        </w:rPr>
        <w:t>主要技术内容确定的依据</w:t>
      </w:r>
    </w:p>
    <w:p w14:paraId="6184ECAF">
      <w:pPr>
        <w:pStyle w:val="5"/>
        <w:numPr>
          <w:ilvl w:val="0"/>
          <w:numId w:val="0"/>
        </w:numPr>
        <w:ind w:leftChars="40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1.技术要求</w:t>
      </w:r>
    </w:p>
    <w:p w14:paraId="01611227">
      <w:pPr>
        <w:pStyle w:val="5"/>
        <w:numPr>
          <w:ilvl w:val="0"/>
          <w:numId w:val="0"/>
        </w:numPr>
        <w:spacing w:after="0"/>
        <w:ind w:left="0" w:leftChars="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对追溯要求、安全要求、外观要求、品质等级要求作出了规定</w:t>
      </w:r>
      <w:r>
        <w:rPr>
          <w:rFonts w:hint="eastAsia" w:ascii="仿宋_GB2312" w:hAnsi="Times New Roman" w:eastAsia="仿宋_GB2312" w:cs="Times New Roman"/>
          <w:kern w:val="2"/>
          <w:sz w:val="32"/>
          <w:szCs w:val="32"/>
          <w:lang w:val="en-US" w:eastAsia="zh-CN" w:bidi="ar-SA"/>
        </w:rPr>
        <w:t>。</w:t>
      </w:r>
    </w:p>
    <w:p w14:paraId="073F015B">
      <w:pPr>
        <w:pStyle w:val="5"/>
        <w:numPr>
          <w:ilvl w:val="0"/>
          <w:numId w:val="5"/>
        </w:numPr>
        <w:spacing w:after="0"/>
        <w:ind w:left="0" w:leftChars="0" w:firstLine="640" w:firstLineChars="200"/>
        <w:rPr>
          <w:rFonts w:hint="eastAsia" w:ascii="仿宋_GB2312" w:eastAsia="仿宋_GB2312"/>
          <w:sz w:val="32"/>
          <w:szCs w:val="32"/>
          <w:lang w:eastAsia="zh-CN"/>
        </w:rPr>
      </w:pPr>
      <w:r>
        <w:rPr>
          <w:rFonts w:hint="eastAsia" w:ascii="仿宋_GB2312" w:eastAsia="仿宋_GB2312" w:cs="Times New Roman"/>
          <w:kern w:val="2"/>
          <w:sz w:val="32"/>
          <w:szCs w:val="32"/>
          <w:lang w:val="en-US" w:eastAsia="zh-CN" w:bidi="ar-SA"/>
        </w:rPr>
        <w:t>追溯要求：按照</w:t>
      </w:r>
      <w:r>
        <w:rPr>
          <w:rFonts w:hint="eastAsia" w:ascii="仿宋_GB2312" w:eastAsia="仿宋_GB2312"/>
          <w:sz w:val="32"/>
          <w:szCs w:val="32"/>
          <w:lang w:eastAsia="zh-CN"/>
        </w:rPr>
        <w:t>《中华人民共和国农产品质量安全法》等法律法规设置农产品承诺达标合格证及追溯相关要求。</w:t>
      </w:r>
    </w:p>
    <w:p w14:paraId="31076601">
      <w:pPr>
        <w:pStyle w:val="5"/>
        <w:numPr>
          <w:ilvl w:val="0"/>
          <w:numId w:val="5"/>
        </w:numPr>
        <w:spacing w:after="0"/>
        <w:ind w:left="0" w:leftChars="0"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安全要求：按照GB 2762《食品安全国家标准食品中污染物限量》、GB 2763《食品安全国家标准食品中农药最大残留限量》设置污染物和农药残留等安全指标限值要求。</w:t>
      </w:r>
    </w:p>
    <w:p w14:paraId="0F3C5DD0">
      <w:pPr>
        <w:pStyle w:val="5"/>
        <w:numPr>
          <w:ilvl w:val="0"/>
          <w:numId w:val="5"/>
        </w:numPr>
        <w:spacing w:after="0"/>
        <w:ind w:left="0" w:leftChars="0"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外观要求：参照GH/T 1185-2020 《鲜荔枝》、NY/T 515-2002 《荔枝》、SN/T 0796-2010 《出口荔枝检验检疫规程》等标准要</w:t>
      </w:r>
      <w:r>
        <w:rPr>
          <w:rFonts w:hint="eastAsia" w:ascii="仿宋_GB2312" w:eastAsia="仿宋_GB2312"/>
          <w:sz w:val="32"/>
          <w:szCs w:val="32"/>
          <w:highlight w:val="none"/>
          <w:lang w:val="en-US" w:eastAsia="zh-CN"/>
        </w:rPr>
        <w:t>求设置果实形态特征、果色、缺陷果作为外观指标限值要求</w:t>
      </w:r>
      <w:r>
        <w:rPr>
          <w:rFonts w:hint="eastAsia" w:ascii="仿宋_GB2312" w:eastAsia="仿宋_GB2312"/>
          <w:sz w:val="32"/>
          <w:szCs w:val="32"/>
          <w:lang w:val="en-US" w:eastAsia="zh-CN"/>
        </w:rPr>
        <w:t>。</w:t>
      </w:r>
    </w:p>
    <w:p w14:paraId="4746BE5E">
      <w:pPr>
        <w:pStyle w:val="5"/>
        <w:numPr>
          <w:ilvl w:val="0"/>
          <w:numId w:val="5"/>
        </w:numPr>
        <w:spacing w:after="0"/>
        <w:ind w:left="0" w:leftChars="0"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品质等级要求：参照GH/T 1185-2020 《鲜荔枝》、NY/T 515-2002 《荔枝》、LB/44 K 13-2016《LB/44 K 13-2016茂名市网上销售荔枝等级规格》、SN/T 0796-2010 《出口荔枝检验检疫规程》等标准要求</w:t>
      </w:r>
      <w:r>
        <w:rPr>
          <w:rFonts w:hint="eastAsia" w:ascii="仿宋_GB2312" w:eastAsia="仿宋_GB2312"/>
          <w:sz w:val="32"/>
          <w:szCs w:val="32"/>
          <w:highlight w:val="none"/>
          <w:lang w:val="en-US" w:eastAsia="zh-CN"/>
        </w:rPr>
        <w:t>设置果实规格、可食率、可滴定酸、可溶性固形物、维生素C作为品质指标限值要求</w:t>
      </w:r>
      <w:r>
        <w:rPr>
          <w:rFonts w:hint="eastAsia" w:ascii="仿宋_GB2312" w:eastAsia="仿宋_GB2312"/>
          <w:sz w:val="32"/>
          <w:szCs w:val="32"/>
          <w:lang w:val="en-US" w:eastAsia="zh-CN"/>
        </w:rPr>
        <w:t>。</w:t>
      </w:r>
    </w:p>
    <w:p w14:paraId="15ABC2D1">
      <w:pPr>
        <w:pStyle w:val="5"/>
        <w:numPr>
          <w:ilvl w:val="0"/>
          <w:numId w:val="0"/>
        </w:numPr>
        <w:spacing w:after="0"/>
        <w:ind w:left="640" w:leftChars="0"/>
        <w:rPr>
          <w:rFonts w:hint="eastAsia" w:ascii="仿宋_GB2312" w:eastAsia="仿宋_GB2312"/>
          <w:sz w:val="32"/>
          <w:szCs w:val="32"/>
          <w:lang w:val="en-US" w:eastAsia="zh-CN"/>
        </w:rPr>
      </w:pPr>
      <w:r>
        <w:rPr>
          <w:rFonts w:hint="eastAsia" w:ascii="仿宋_GB2312" w:eastAsia="仿宋_GB2312"/>
          <w:sz w:val="32"/>
          <w:szCs w:val="32"/>
          <w:lang w:val="en-US" w:eastAsia="zh-CN"/>
        </w:rPr>
        <w:t>2.数据分析及确认</w:t>
      </w:r>
    </w:p>
    <w:p w14:paraId="2930C0E0">
      <w:pPr>
        <w:pStyle w:val="5"/>
        <w:numPr>
          <w:ilvl w:val="0"/>
          <w:numId w:val="0"/>
        </w:numPr>
        <w:spacing w:after="0"/>
        <w:ind w:left="640" w:leftChars="0"/>
        <w:rPr>
          <w:rFonts w:hint="eastAsia" w:ascii="仿宋_GB2312" w:eastAsia="仿宋_GB2312"/>
          <w:sz w:val="32"/>
          <w:szCs w:val="32"/>
          <w:lang w:val="en-US" w:eastAsia="zh-CN"/>
        </w:rPr>
      </w:pPr>
      <w:r>
        <w:rPr>
          <w:rFonts w:hint="eastAsia" w:ascii="仿宋_GB2312" w:eastAsia="仿宋_GB2312"/>
          <w:sz w:val="32"/>
          <w:szCs w:val="32"/>
          <w:lang w:val="en-US" w:eastAsia="zh-CN"/>
        </w:rPr>
        <w:t>2.1标准查询</w:t>
      </w:r>
    </w:p>
    <w:p w14:paraId="5930D5A6">
      <w:pPr>
        <w:pStyle w:val="5"/>
        <w:numPr>
          <w:ilvl w:val="0"/>
          <w:numId w:val="0"/>
        </w:numPr>
        <w:spacing w:after="0"/>
        <w:ind w:left="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经统计，</w:t>
      </w:r>
      <w:r>
        <w:rPr>
          <w:rFonts w:hint="default" w:ascii="仿宋_GB2312" w:eastAsia="仿宋_GB2312"/>
          <w:sz w:val="32"/>
          <w:szCs w:val="32"/>
          <w:lang w:val="en-US" w:eastAsia="zh-CN"/>
        </w:rPr>
        <w:t>目前我国现行有效的</w:t>
      </w:r>
      <w:r>
        <w:rPr>
          <w:rFonts w:hint="eastAsia" w:ascii="仿宋_GB2312" w:eastAsia="仿宋_GB2312"/>
          <w:sz w:val="32"/>
          <w:szCs w:val="32"/>
          <w:lang w:val="en-US" w:eastAsia="zh-CN"/>
        </w:rPr>
        <w:t>荔枝</w:t>
      </w:r>
      <w:r>
        <w:rPr>
          <w:rFonts w:hint="default" w:ascii="仿宋_GB2312" w:eastAsia="仿宋_GB2312"/>
          <w:sz w:val="32"/>
          <w:szCs w:val="32"/>
          <w:lang w:val="en-US" w:eastAsia="zh-CN"/>
        </w:rPr>
        <w:t>产品标准</w:t>
      </w:r>
      <w:r>
        <w:rPr>
          <w:rFonts w:hint="eastAsia" w:ascii="仿宋_GB2312" w:eastAsia="仿宋_GB2312"/>
          <w:sz w:val="32"/>
          <w:szCs w:val="32"/>
          <w:lang w:val="en-US" w:eastAsia="zh-CN"/>
        </w:rPr>
        <w:t>对果实规格、可食率、可滴定酸、可溶性固形物</w:t>
      </w:r>
      <w:r>
        <w:rPr>
          <w:rFonts w:hint="eastAsia" w:ascii="仿宋_GB2312" w:eastAsia="仿宋_GB2312"/>
          <w:sz w:val="32"/>
          <w:szCs w:val="32"/>
          <w:highlight w:val="none"/>
          <w:lang w:val="en-US" w:eastAsia="zh-CN"/>
        </w:rPr>
        <w:t>、维生素C</w:t>
      </w:r>
      <w:r>
        <w:rPr>
          <w:rFonts w:hint="default" w:ascii="仿宋_GB2312" w:eastAsia="仿宋_GB2312"/>
          <w:sz w:val="32"/>
          <w:szCs w:val="32"/>
          <w:lang w:val="en-US" w:eastAsia="zh-CN"/>
        </w:rPr>
        <w:t>指标的</w:t>
      </w:r>
      <w:r>
        <w:rPr>
          <w:rFonts w:hint="eastAsia" w:ascii="仿宋_GB2312" w:eastAsia="仿宋_GB2312"/>
          <w:sz w:val="32"/>
          <w:szCs w:val="32"/>
          <w:lang w:val="en-US" w:eastAsia="zh-CN"/>
        </w:rPr>
        <w:t>限值要求主要如下：</w:t>
      </w:r>
    </w:p>
    <w:p w14:paraId="27DE0DE1">
      <w:pPr>
        <w:pStyle w:val="5"/>
        <w:numPr>
          <w:ilvl w:val="0"/>
          <w:numId w:val="0"/>
        </w:numPr>
        <w:spacing w:after="0"/>
        <w:rPr>
          <w:rFonts w:hint="eastAsia" w:ascii="仿宋_GB2312" w:eastAsia="仿宋_GB2312"/>
          <w:sz w:val="32"/>
          <w:szCs w:val="32"/>
          <w:lang w:val="en-US" w:eastAsia="zh-CN"/>
        </w:rPr>
      </w:pPr>
      <w:r>
        <w:rPr>
          <w:rFonts w:hint="eastAsia" w:ascii="仿宋_GB2312" w:eastAsia="仿宋_GB2312"/>
          <w:sz w:val="32"/>
          <w:szCs w:val="32"/>
          <w:lang w:val="en-US" w:eastAsia="zh-CN"/>
        </w:rPr>
        <w:t>GH/T 1185-2020 《鲜荔枝》</w:t>
      </w:r>
    </w:p>
    <w:p w14:paraId="3C81C18D">
      <w:pPr>
        <w:pStyle w:val="5"/>
        <w:numPr>
          <w:ilvl w:val="0"/>
          <w:numId w:val="0"/>
        </w:numPr>
        <w:spacing w:after="0"/>
        <w:jc w:val="center"/>
      </w:pPr>
      <w:r>
        <w:drawing>
          <wp:inline distT="0" distB="0" distL="114300" distR="114300">
            <wp:extent cx="4586605" cy="3856355"/>
            <wp:effectExtent l="0" t="0" r="4445" b="1079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5"/>
                    <a:stretch>
                      <a:fillRect/>
                    </a:stretch>
                  </pic:blipFill>
                  <pic:spPr>
                    <a:xfrm>
                      <a:off x="0" y="0"/>
                      <a:ext cx="4586605" cy="3856355"/>
                    </a:xfrm>
                    <a:prstGeom prst="rect">
                      <a:avLst/>
                    </a:prstGeom>
                    <a:noFill/>
                    <a:ln>
                      <a:noFill/>
                    </a:ln>
                  </pic:spPr>
                </pic:pic>
              </a:graphicData>
            </a:graphic>
          </wp:inline>
        </w:drawing>
      </w:r>
    </w:p>
    <w:p w14:paraId="0472CDAD">
      <w:pPr>
        <w:pStyle w:val="5"/>
        <w:numPr>
          <w:ilvl w:val="0"/>
          <w:numId w:val="0"/>
        </w:numPr>
        <w:spacing w:after="0"/>
        <w:rPr>
          <w:rFonts w:hint="eastAsia" w:ascii="仿宋_GB2312" w:eastAsia="仿宋_GB2312"/>
          <w:sz w:val="32"/>
          <w:szCs w:val="32"/>
          <w:lang w:val="en-US" w:eastAsia="zh-CN"/>
        </w:rPr>
      </w:pPr>
      <w:r>
        <w:rPr>
          <w:rFonts w:hint="eastAsia" w:ascii="仿宋_GB2312" w:eastAsia="仿宋_GB2312"/>
          <w:sz w:val="32"/>
          <w:szCs w:val="32"/>
          <w:lang w:val="en-US" w:eastAsia="zh-CN"/>
        </w:rPr>
        <w:t>NY/T 515-2002 《荔枝》</w:t>
      </w:r>
    </w:p>
    <w:p w14:paraId="50EA598C">
      <w:pPr>
        <w:pStyle w:val="5"/>
        <w:numPr>
          <w:ilvl w:val="0"/>
          <w:numId w:val="0"/>
        </w:numPr>
        <w:spacing w:after="0"/>
      </w:pPr>
    </w:p>
    <w:p w14:paraId="0662878D">
      <w:pPr>
        <w:pStyle w:val="5"/>
        <w:numPr>
          <w:ilvl w:val="0"/>
          <w:numId w:val="0"/>
        </w:numPr>
        <w:spacing w:after="0"/>
        <w:jc w:val="center"/>
        <w:rPr>
          <w:rFonts w:hint="eastAsia" w:ascii="仿宋_GB2312" w:eastAsia="仿宋_GB2312"/>
          <w:sz w:val="32"/>
          <w:szCs w:val="32"/>
          <w:lang w:val="en-US" w:eastAsia="zh-CN"/>
        </w:rPr>
      </w:pPr>
      <w:r>
        <w:drawing>
          <wp:inline distT="0" distB="0" distL="114300" distR="114300">
            <wp:extent cx="4231005" cy="3900805"/>
            <wp:effectExtent l="0" t="0" r="17145" b="444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6"/>
                    <a:srcRect t="907"/>
                    <a:stretch>
                      <a:fillRect/>
                    </a:stretch>
                  </pic:blipFill>
                  <pic:spPr>
                    <a:xfrm>
                      <a:off x="0" y="0"/>
                      <a:ext cx="4231005" cy="3900805"/>
                    </a:xfrm>
                    <a:prstGeom prst="rect">
                      <a:avLst/>
                    </a:prstGeom>
                    <a:noFill/>
                    <a:ln>
                      <a:noFill/>
                    </a:ln>
                  </pic:spPr>
                </pic:pic>
              </a:graphicData>
            </a:graphic>
          </wp:inline>
        </w:drawing>
      </w:r>
    </w:p>
    <w:p w14:paraId="01580279">
      <w:pPr>
        <w:pStyle w:val="5"/>
        <w:numPr>
          <w:ilvl w:val="0"/>
          <w:numId w:val="0"/>
        </w:numPr>
        <w:spacing w:after="0"/>
        <w:jc w:val="center"/>
        <w:rPr>
          <w:rFonts w:hint="eastAsia" w:ascii="仿宋_GB2312" w:eastAsia="仿宋_GB2312"/>
          <w:sz w:val="32"/>
          <w:szCs w:val="32"/>
          <w:lang w:val="en-US" w:eastAsia="zh-CN"/>
        </w:rPr>
      </w:pPr>
      <w:r>
        <w:drawing>
          <wp:inline distT="0" distB="0" distL="114300" distR="114300">
            <wp:extent cx="4124960" cy="4093845"/>
            <wp:effectExtent l="0" t="0" r="8890" b="190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7"/>
                    <a:stretch>
                      <a:fillRect/>
                    </a:stretch>
                  </pic:blipFill>
                  <pic:spPr>
                    <a:xfrm>
                      <a:off x="0" y="0"/>
                      <a:ext cx="4124960" cy="4093845"/>
                    </a:xfrm>
                    <a:prstGeom prst="rect">
                      <a:avLst/>
                    </a:prstGeom>
                    <a:noFill/>
                    <a:ln>
                      <a:noFill/>
                    </a:ln>
                  </pic:spPr>
                </pic:pic>
              </a:graphicData>
            </a:graphic>
          </wp:inline>
        </w:drawing>
      </w:r>
    </w:p>
    <w:p w14:paraId="59052013">
      <w:pPr>
        <w:pStyle w:val="5"/>
        <w:numPr>
          <w:ilvl w:val="0"/>
          <w:numId w:val="0"/>
        </w:numPr>
        <w:spacing w:after="0"/>
        <w:rPr>
          <w:rFonts w:hint="eastAsia" w:ascii="仿宋_GB2312" w:eastAsia="仿宋_GB2312"/>
          <w:sz w:val="32"/>
          <w:szCs w:val="32"/>
          <w:lang w:val="en-US" w:eastAsia="zh-CN"/>
        </w:rPr>
      </w:pPr>
      <w:r>
        <w:rPr>
          <w:rFonts w:hint="eastAsia" w:ascii="仿宋_GB2312" w:eastAsia="仿宋_GB2312"/>
          <w:sz w:val="32"/>
          <w:szCs w:val="32"/>
          <w:lang w:val="en-US" w:eastAsia="zh-CN"/>
        </w:rPr>
        <w:t>LB/44 K 13-2016《LB/44 K 13-2016茂名市网上销售荔枝等级规格》</w:t>
      </w:r>
    </w:p>
    <w:p w14:paraId="14D178EA">
      <w:pPr>
        <w:pStyle w:val="5"/>
        <w:numPr>
          <w:ilvl w:val="0"/>
          <w:numId w:val="0"/>
        </w:numPr>
        <w:spacing w:after="0"/>
        <w:jc w:val="center"/>
        <w:rPr>
          <w:rFonts w:hint="eastAsia" w:ascii="仿宋_GB2312" w:eastAsia="仿宋_GB2312"/>
          <w:sz w:val="32"/>
          <w:szCs w:val="32"/>
          <w:lang w:val="en-US" w:eastAsia="zh-CN"/>
        </w:rPr>
      </w:pPr>
      <w:r>
        <w:drawing>
          <wp:inline distT="0" distB="0" distL="114300" distR="114300">
            <wp:extent cx="4999990" cy="3564255"/>
            <wp:effectExtent l="0" t="0" r="10160" b="1714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8"/>
                    <a:stretch>
                      <a:fillRect/>
                    </a:stretch>
                  </pic:blipFill>
                  <pic:spPr>
                    <a:xfrm>
                      <a:off x="0" y="0"/>
                      <a:ext cx="4999990" cy="3564255"/>
                    </a:xfrm>
                    <a:prstGeom prst="rect">
                      <a:avLst/>
                    </a:prstGeom>
                    <a:noFill/>
                    <a:ln>
                      <a:noFill/>
                    </a:ln>
                  </pic:spPr>
                </pic:pic>
              </a:graphicData>
            </a:graphic>
          </wp:inline>
        </w:drawing>
      </w:r>
    </w:p>
    <w:p w14:paraId="0ED6B00C">
      <w:pPr>
        <w:pStyle w:val="5"/>
        <w:numPr>
          <w:ilvl w:val="0"/>
          <w:numId w:val="0"/>
        </w:numPr>
        <w:spacing w:after="0"/>
        <w:rPr>
          <w:rFonts w:hint="eastAsia" w:ascii="仿宋_GB2312" w:eastAsia="仿宋_GB2312"/>
          <w:sz w:val="32"/>
          <w:szCs w:val="32"/>
          <w:lang w:val="en-US" w:eastAsia="zh-CN"/>
        </w:rPr>
      </w:pPr>
      <w:r>
        <w:rPr>
          <w:rFonts w:hint="eastAsia" w:ascii="仿宋_GB2312" w:eastAsia="仿宋_GB2312"/>
          <w:sz w:val="32"/>
          <w:szCs w:val="32"/>
          <w:lang w:val="en-US" w:eastAsia="zh-CN"/>
        </w:rPr>
        <w:t>SN/T 0796-2010 《出口荔枝检验检疫规程》</w:t>
      </w:r>
    </w:p>
    <w:p w14:paraId="3FC0516A">
      <w:pPr>
        <w:pStyle w:val="5"/>
        <w:numPr>
          <w:ilvl w:val="0"/>
          <w:numId w:val="0"/>
        </w:numPr>
        <w:spacing w:after="0"/>
        <w:jc w:val="center"/>
        <w:rPr>
          <w:rFonts w:hint="eastAsia" w:ascii="仿宋_GB2312" w:eastAsia="仿宋_GB2312"/>
          <w:sz w:val="32"/>
          <w:szCs w:val="32"/>
          <w:lang w:val="en-US" w:eastAsia="zh-CN"/>
        </w:rPr>
      </w:pPr>
      <w:r>
        <w:drawing>
          <wp:inline distT="0" distB="0" distL="114300" distR="114300">
            <wp:extent cx="3543300" cy="3470275"/>
            <wp:effectExtent l="0" t="0" r="0" b="1587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9"/>
                    <a:stretch>
                      <a:fillRect/>
                    </a:stretch>
                  </pic:blipFill>
                  <pic:spPr>
                    <a:xfrm>
                      <a:off x="0" y="0"/>
                      <a:ext cx="3543300" cy="3470275"/>
                    </a:xfrm>
                    <a:prstGeom prst="rect">
                      <a:avLst/>
                    </a:prstGeom>
                    <a:noFill/>
                    <a:ln>
                      <a:noFill/>
                    </a:ln>
                  </pic:spPr>
                </pic:pic>
              </a:graphicData>
            </a:graphic>
          </wp:inline>
        </w:drawing>
      </w:r>
    </w:p>
    <w:p w14:paraId="71CE35BA">
      <w:pPr>
        <w:pStyle w:val="5"/>
        <w:numPr>
          <w:ilvl w:val="0"/>
          <w:numId w:val="0"/>
        </w:numPr>
        <w:spacing w:after="0"/>
      </w:pPr>
    </w:p>
    <w:p w14:paraId="0FB81D45">
      <w:pPr>
        <w:pStyle w:val="5"/>
        <w:numPr>
          <w:ilvl w:val="0"/>
          <w:numId w:val="0"/>
        </w:numPr>
        <w:spacing w:after="0"/>
        <w:jc w:val="center"/>
        <w:rPr>
          <w:rFonts w:hint="default" w:ascii="仿宋_GB2312" w:eastAsia="仿宋_GB2312"/>
          <w:sz w:val="32"/>
          <w:szCs w:val="32"/>
          <w:lang w:val="en-US" w:eastAsia="zh-CN"/>
        </w:rPr>
      </w:pPr>
      <w:r>
        <w:drawing>
          <wp:inline distT="0" distB="0" distL="114300" distR="114300">
            <wp:extent cx="4203065" cy="3907155"/>
            <wp:effectExtent l="0" t="0" r="6985" b="17145"/>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10"/>
                    <a:srcRect t="688" r="293"/>
                    <a:stretch>
                      <a:fillRect/>
                    </a:stretch>
                  </pic:blipFill>
                  <pic:spPr>
                    <a:xfrm>
                      <a:off x="0" y="0"/>
                      <a:ext cx="4203065" cy="3907155"/>
                    </a:xfrm>
                    <a:prstGeom prst="rect">
                      <a:avLst/>
                    </a:prstGeom>
                    <a:noFill/>
                    <a:ln>
                      <a:noFill/>
                    </a:ln>
                  </pic:spPr>
                </pic:pic>
              </a:graphicData>
            </a:graphic>
          </wp:inline>
        </w:drawing>
      </w:r>
    </w:p>
    <w:p w14:paraId="6192976A">
      <w:pPr>
        <w:pStyle w:val="5"/>
        <w:numPr>
          <w:ilvl w:val="0"/>
          <w:numId w:val="0"/>
        </w:numPr>
        <w:spacing w:after="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2.2</w:t>
      </w:r>
      <w:r>
        <w:rPr>
          <w:rFonts w:hint="eastAsia" w:ascii="仿宋_GB2312" w:eastAsia="仿宋_GB2312" w:cs="Times New Roman"/>
          <w:kern w:val="2"/>
          <w:sz w:val="32"/>
          <w:szCs w:val="32"/>
          <w:lang w:val="en-US" w:eastAsia="zh-CN" w:bidi="ar-SA"/>
        </w:rPr>
        <w:t>文献及检测数据</w:t>
      </w:r>
    </w:p>
    <w:p w14:paraId="5E0069D8">
      <w:pPr>
        <w:pStyle w:val="5"/>
        <w:numPr>
          <w:ilvl w:val="0"/>
          <w:numId w:val="0"/>
        </w:numPr>
        <w:spacing w:after="0"/>
        <w:ind w:firstLine="640"/>
        <w:jc w:val="both"/>
        <w:rPr>
          <w:rFonts w:hint="default" w:ascii="仿宋_GB2312" w:eastAsia="仿宋_GB2312"/>
          <w:sz w:val="32"/>
          <w:szCs w:val="32"/>
          <w:lang w:val="en-US" w:eastAsia="zh-CN"/>
        </w:rPr>
      </w:pPr>
      <w:r>
        <w:rPr>
          <w:rFonts w:hint="eastAsia" w:ascii="仿宋_GB2312" w:eastAsia="仿宋_GB2312" w:cs="Times New Roman"/>
          <w:kern w:val="2"/>
          <w:sz w:val="32"/>
          <w:szCs w:val="32"/>
          <w:lang w:val="en-US" w:eastAsia="zh-CN" w:bidi="ar-SA"/>
        </w:rPr>
        <w:t>通过对荔枝相关文献数</w:t>
      </w:r>
      <w:r>
        <w:rPr>
          <w:rFonts w:hint="eastAsia" w:ascii="仿宋_GB2312" w:eastAsia="仿宋_GB2312" w:cs="Times New Roman"/>
          <w:kern w:val="2"/>
          <w:sz w:val="32"/>
          <w:szCs w:val="32"/>
          <w:highlight w:val="none"/>
          <w:lang w:val="en-US" w:eastAsia="zh-CN" w:bidi="ar-SA"/>
        </w:rPr>
        <w:t>据收集整理，收集荔枝中</w:t>
      </w:r>
      <w:r>
        <w:rPr>
          <w:rFonts w:hint="eastAsia" w:ascii="仿宋_GB2312" w:eastAsia="仿宋_GB2312"/>
          <w:sz w:val="32"/>
          <w:szCs w:val="32"/>
          <w:highlight w:val="none"/>
          <w:lang w:val="en-US" w:eastAsia="zh-CN"/>
        </w:rPr>
        <w:t>果实规格、可食率、可滴定酸、可溶性固形物、维生素C数据521组。根据收集的数据显示：可溶性固形物最小值为13.3%，最大值为19.5%，平均值为16.4%；可滴定酸最小值为0.05%，最大值为0.14%，平均值为0.10%；可食率最小值为65%</w:t>
      </w:r>
      <w:r>
        <w:rPr>
          <w:rFonts w:hint="eastAsia" w:ascii="仿宋_GB2312" w:eastAsia="仿宋_GB2312"/>
          <w:sz w:val="32"/>
          <w:szCs w:val="32"/>
          <w:highlight w:val="none"/>
          <w:vertAlign w:val="baseline"/>
          <w:lang w:val="en-US" w:eastAsia="zh-CN"/>
        </w:rPr>
        <w:t>，最大值为74.5%，</w:t>
      </w:r>
      <w:r>
        <w:rPr>
          <w:rFonts w:hint="eastAsia" w:ascii="仿宋_GB2312" w:eastAsia="仿宋_GB2312"/>
          <w:sz w:val="32"/>
          <w:szCs w:val="32"/>
          <w:highlight w:val="none"/>
          <w:lang w:val="en-US" w:eastAsia="zh-CN"/>
        </w:rPr>
        <w:t>平均值为72%</w:t>
      </w:r>
      <w:r>
        <w:rPr>
          <w:rFonts w:hint="eastAsia" w:ascii="仿宋_GB2312" w:eastAsia="仿宋_GB2312"/>
          <w:sz w:val="32"/>
          <w:szCs w:val="32"/>
          <w:highlight w:val="none"/>
          <w:vertAlign w:val="baseline"/>
          <w:lang w:val="en-US" w:eastAsia="zh-CN"/>
        </w:rPr>
        <w:t>；果实规格最小值为40粒/kg，最大值为62粒/kg，平均值为51粒/kg；维生素C最小值为3.55mg/100g，最大值为26mg/100g，平均值为17mg/100g。</w:t>
      </w:r>
    </w:p>
    <w:p w14:paraId="7539E998">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firstLine="641"/>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综合</w:t>
      </w:r>
      <w:r>
        <w:rPr>
          <w:rFonts w:hint="eastAsia" w:ascii="仿宋_GB2312" w:eastAsia="仿宋_GB2312" w:cs="Times New Roman"/>
          <w:kern w:val="2"/>
          <w:sz w:val="32"/>
          <w:szCs w:val="32"/>
          <w:lang w:val="en-US" w:eastAsia="zh-CN" w:bidi="ar-SA"/>
        </w:rPr>
        <w:t>文献及检测数据</w:t>
      </w:r>
      <w:r>
        <w:rPr>
          <w:rFonts w:hint="eastAsia" w:ascii="仿宋_GB2312" w:eastAsia="仿宋_GB2312"/>
          <w:sz w:val="32"/>
          <w:szCs w:val="32"/>
          <w:lang w:val="en-US" w:eastAsia="zh-CN"/>
        </w:rPr>
        <w:t>分析，结合现行有效的标准要求，</w:t>
      </w:r>
      <w:r>
        <w:rPr>
          <w:rFonts w:hint="eastAsia" w:eastAsia="仿宋_GB2312" w:cs="Times New Roman"/>
          <w:sz w:val="32"/>
          <w:szCs w:val="32"/>
          <w:highlight w:val="none"/>
          <w:lang w:val="en-US" w:eastAsia="zh-CN"/>
        </w:rPr>
        <w:t>白糖罂荔枝</w:t>
      </w:r>
      <w:r>
        <w:rPr>
          <w:rFonts w:hint="eastAsia" w:ascii="仿宋_GB2312" w:eastAsia="仿宋_GB2312"/>
          <w:sz w:val="32"/>
          <w:szCs w:val="32"/>
          <w:lang w:val="en-US" w:eastAsia="zh-CN"/>
        </w:rPr>
        <w:t>品质指标如下：</w:t>
      </w:r>
    </w:p>
    <w:tbl>
      <w:tblPr>
        <w:tblStyle w:val="6"/>
        <w:tblW w:w="49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8"/>
        <w:gridCol w:w="1553"/>
        <w:gridCol w:w="1746"/>
        <w:gridCol w:w="1749"/>
      </w:tblGrid>
      <w:tr w14:paraId="6A39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8" w:type="pct"/>
            <w:vMerge w:val="restart"/>
            <w:noWrap w:val="0"/>
            <w:vAlign w:val="center"/>
          </w:tcPr>
          <w:p w14:paraId="40D719B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项  目</w:t>
            </w:r>
          </w:p>
        </w:tc>
        <w:tc>
          <w:tcPr>
            <w:tcW w:w="2981" w:type="pct"/>
            <w:gridSpan w:val="3"/>
            <w:noWrap w:val="0"/>
            <w:vAlign w:val="center"/>
          </w:tcPr>
          <w:p w14:paraId="73661FD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等      级</w:t>
            </w:r>
          </w:p>
        </w:tc>
      </w:tr>
      <w:tr w14:paraId="3832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8" w:type="pct"/>
            <w:vMerge w:val="continue"/>
            <w:noWrap w:val="0"/>
            <w:vAlign w:val="center"/>
          </w:tcPr>
          <w:p w14:paraId="697FCEE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b w:val="0"/>
                <w:bCs w:val="0"/>
                <w:sz w:val="20"/>
                <w:szCs w:val="20"/>
                <w:u w:val="none"/>
                <w:lang w:val="en-US" w:eastAsia="zh-CN"/>
              </w:rPr>
            </w:pPr>
          </w:p>
        </w:tc>
        <w:tc>
          <w:tcPr>
            <w:tcW w:w="917" w:type="pct"/>
            <w:noWrap w:val="0"/>
            <w:vAlign w:val="center"/>
          </w:tcPr>
          <w:p w14:paraId="1768E39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A+</w:t>
            </w:r>
          </w:p>
        </w:tc>
        <w:tc>
          <w:tcPr>
            <w:tcW w:w="1031" w:type="pct"/>
            <w:noWrap w:val="0"/>
            <w:vAlign w:val="center"/>
          </w:tcPr>
          <w:p w14:paraId="65EA7A4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A</w:t>
            </w:r>
          </w:p>
        </w:tc>
        <w:tc>
          <w:tcPr>
            <w:tcW w:w="1032" w:type="pct"/>
            <w:noWrap w:val="0"/>
            <w:vAlign w:val="center"/>
          </w:tcPr>
          <w:p w14:paraId="11CF880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B</w:t>
            </w:r>
          </w:p>
        </w:tc>
      </w:tr>
      <w:tr w14:paraId="3F7C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8" w:type="pct"/>
            <w:noWrap w:val="0"/>
            <w:vAlign w:val="center"/>
          </w:tcPr>
          <w:p w14:paraId="19AEC8E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cstheme="minorEastAsia"/>
                <w:sz w:val="20"/>
                <w:szCs w:val="20"/>
              </w:rPr>
              <w:t>果实规格（粒/kg）</w:t>
            </w:r>
            <w:r>
              <w:rPr>
                <w:rFonts w:hint="eastAsia" w:asciiTheme="minorEastAsia" w:hAnsiTheme="minorEastAsia" w:eastAsiaTheme="minorEastAsia" w:cstheme="minorEastAsia"/>
                <w:b w:val="0"/>
                <w:bCs w:val="0"/>
                <w:sz w:val="20"/>
                <w:szCs w:val="20"/>
                <w:u w:val="none"/>
                <w:lang w:val="en-US" w:eastAsia="zh-CN"/>
              </w:rPr>
              <w:t xml:space="preserve">       </w:t>
            </w:r>
            <w:r>
              <w:rPr>
                <w:rFonts w:hint="eastAsia" w:asciiTheme="minorEastAsia" w:hAnsiTheme="minorEastAsia" w:cstheme="minorEastAsia"/>
                <w:b w:val="0"/>
                <w:bCs w:val="0"/>
                <w:sz w:val="20"/>
                <w:szCs w:val="20"/>
                <w:u w:val="none"/>
                <w:lang w:val="en-US" w:eastAsia="zh-CN"/>
              </w:rPr>
              <w:t xml:space="preserve">      </w:t>
            </w:r>
            <w:r>
              <w:rPr>
                <w:rFonts w:hint="eastAsia" w:asciiTheme="minorEastAsia" w:hAnsiTheme="minorEastAsia" w:cstheme="minorEastAsia"/>
                <w:sz w:val="20"/>
                <w:szCs w:val="20"/>
              </w:rPr>
              <w:t>≤</w:t>
            </w:r>
          </w:p>
        </w:tc>
        <w:tc>
          <w:tcPr>
            <w:tcW w:w="917" w:type="pct"/>
            <w:noWrap w:val="0"/>
            <w:vAlign w:val="center"/>
          </w:tcPr>
          <w:p w14:paraId="2DE8596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b w:val="0"/>
                <w:bCs w:val="0"/>
                <w:sz w:val="20"/>
                <w:szCs w:val="20"/>
                <w:highlight w:val="none"/>
                <w:u w:val="none"/>
                <w:lang w:val="en-US" w:eastAsia="zh-CN"/>
              </w:rPr>
            </w:pPr>
            <w:r>
              <w:rPr>
                <w:rFonts w:hint="eastAsia" w:asciiTheme="minorEastAsia" w:hAnsiTheme="minorEastAsia" w:eastAsiaTheme="minorEastAsia" w:cstheme="minorEastAsia"/>
                <w:b w:val="0"/>
                <w:bCs w:val="0"/>
                <w:sz w:val="20"/>
                <w:szCs w:val="20"/>
                <w:highlight w:val="none"/>
                <w:u w:val="none"/>
                <w:lang w:val="en-US" w:eastAsia="zh-CN"/>
              </w:rPr>
              <w:t>42</w:t>
            </w:r>
          </w:p>
        </w:tc>
        <w:tc>
          <w:tcPr>
            <w:tcW w:w="1031" w:type="pct"/>
            <w:noWrap w:val="0"/>
            <w:vAlign w:val="center"/>
          </w:tcPr>
          <w:p w14:paraId="73364C8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b w:val="0"/>
                <w:bCs w:val="0"/>
                <w:sz w:val="20"/>
                <w:szCs w:val="20"/>
                <w:highlight w:val="none"/>
                <w:u w:val="none"/>
                <w:lang w:val="en-US" w:eastAsia="zh-CN"/>
              </w:rPr>
            </w:pPr>
            <w:r>
              <w:rPr>
                <w:rFonts w:hint="eastAsia" w:asciiTheme="minorEastAsia" w:hAnsiTheme="minorEastAsia" w:eastAsiaTheme="minorEastAsia" w:cstheme="minorEastAsia"/>
                <w:b w:val="0"/>
                <w:bCs w:val="0"/>
                <w:sz w:val="20"/>
                <w:szCs w:val="20"/>
                <w:highlight w:val="none"/>
                <w:u w:val="none"/>
                <w:lang w:val="en-US" w:eastAsia="zh-CN"/>
              </w:rPr>
              <w:t>46</w:t>
            </w:r>
          </w:p>
        </w:tc>
        <w:tc>
          <w:tcPr>
            <w:tcW w:w="1032" w:type="pct"/>
            <w:noWrap w:val="0"/>
            <w:vAlign w:val="center"/>
          </w:tcPr>
          <w:p w14:paraId="50A59C9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b w:val="0"/>
                <w:bCs w:val="0"/>
                <w:sz w:val="20"/>
                <w:szCs w:val="20"/>
                <w:highlight w:val="none"/>
                <w:u w:val="none"/>
                <w:lang w:val="en-US" w:eastAsia="zh-CN"/>
              </w:rPr>
            </w:pPr>
            <w:r>
              <w:rPr>
                <w:rFonts w:hint="eastAsia" w:asciiTheme="minorEastAsia" w:hAnsiTheme="minorEastAsia" w:eastAsiaTheme="minorEastAsia" w:cstheme="minorEastAsia"/>
                <w:b w:val="0"/>
                <w:bCs w:val="0"/>
                <w:sz w:val="20"/>
                <w:szCs w:val="20"/>
                <w:highlight w:val="none"/>
                <w:u w:val="none"/>
                <w:lang w:val="en-US" w:eastAsia="zh-CN"/>
              </w:rPr>
              <w:t>51</w:t>
            </w:r>
          </w:p>
        </w:tc>
      </w:tr>
      <w:tr w14:paraId="4F049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8" w:type="pct"/>
            <w:noWrap w:val="0"/>
            <w:vAlign w:val="center"/>
          </w:tcPr>
          <w:p w14:paraId="591F1C9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b w:val="0"/>
                <w:bCs w:val="0"/>
                <w:sz w:val="20"/>
                <w:szCs w:val="20"/>
                <w:highlight w:val="none"/>
                <w:u w:val="none"/>
                <w:lang w:val="en-US" w:eastAsia="zh-CN"/>
              </w:rPr>
            </w:pPr>
            <w:r>
              <w:rPr>
                <w:rFonts w:hint="eastAsia" w:asciiTheme="minorEastAsia" w:hAnsiTheme="minorEastAsia" w:eastAsiaTheme="minorEastAsia" w:cstheme="minorEastAsia"/>
                <w:b w:val="0"/>
                <w:bCs w:val="0"/>
                <w:sz w:val="20"/>
                <w:szCs w:val="20"/>
                <w:highlight w:val="none"/>
                <w:u w:val="none"/>
                <w:lang w:val="en-US" w:eastAsia="zh-CN"/>
              </w:rPr>
              <w:t xml:space="preserve">可食率（%） </w:t>
            </w:r>
            <w:r>
              <w:rPr>
                <w:rFonts w:hint="eastAsia" w:asciiTheme="minorEastAsia" w:hAnsiTheme="minorEastAsia" w:cstheme="minorEastAsia"/>
                <w:b w:val="0"/>
                <w:bCs w:val="0"/>
                <w:sz w:val="20"/>
                <w:szCs w:val="20"/>
                <w:highlight w:val="none"/>
                <w:u w:val="none"/>
                <w:lang w:val="en-US" w:eastAsia="zh-CN"/>
              </w:rPr>
              <w:t xml:space="preserve">                  </w:t>
            </w:r>
            <w:r>
              <w:rPr>
                <w:rFonts w:hint="eastAsia" w:asciiTheme="minorEastAsia" w:hAnsiTheme="minorEastAsia" w:eastAsiaTheme="minorEastAsia" w:cstheme="minorEastAsia"/>
                <w:b w:val="0"/>
                <w:bCs w:val="0"/>
                <w:sz w:val="20"/>
                <w:szCs w:val="20"/>
                <w:highlight w:val="none"/>
                <w:u w:val="none"/>
                <w:lang w:val="en-US" w:eastAsia="zh-CN"/>
              </w:rPr>
              <w:t xml:space="preserve">≥      </w:t>
            </w:r>
          </w:p>
        </w:tc>
        <w:tc>
          <w:tcPr>
            <w:tcW w:w="917" w:type="pct"/>
            <w:noWrap w:val="0"/>
            <w:vAlign w:val="center"/>
          </w:tcPr>
          <w:p w14:paraId="4D8380E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b w:val="0"/>
                <w:bCs w:val="0"/>
                <w:sz w:val="20"/>
                <w:szCs w:val="20"/>
                <w:highlight w:val="none"/>
                <w:u w:val="none"/>
                <w:lang w:val="en-US" w:eastAsia="zh-CN"/>
              </w:rPr>
            </w:pPr>
            <w:r>
              <w:rPr>
                <w:rFonts w:hint="eastAsia" w:asciiTheme="minorEastAsia" w:hAnsiTheme="minorEastAsia" w:eastAsiaTheme="minorEastAsia" w:cstheme="minorEastAsia"/>
                <w:b w:val="0"/>
                <w:bCs w:val="0"/>
                <w:sz w:val="20"/>
                <w:szCs w:val="20"/>
                <w:highlight w:val="none"/>
                <w:u w:val="none"/>
                <w:lang w:val="en-US" w:eastAsia="zh-CN"/>
              </w:rPr>
              <w:t>75</w:t>
            </w:r>
          </w:p>
        </w:tc>
        <w:tc>
          <w:tcPr>
            <w:tcW w:w="1031" w:type="pct"/>
            <w:noWrap w:val="0"/>
            <w:vAlign w:val="center"/>
          </w:tcPr>
          <w:p w14:paraId="152B2F3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b w:val="0"/>
                <w:bCs w:val="0"/>
                <w:sz w:val="20"/>
                <w:szCs w:val="20"/>
                <w:highlight w:val="none"/>
                <w:u w:val="none"/>
                <w:lang w:val="en-US" w:eastAsia="zh-CN"/>
              </w:rPr>
            </w:pPr>
            <w:r>
              <w:rPr>
                <w:rFonts w:hint="eastAsia" w:asciiTheme="minorEastAsia" w:hAnsiTheme="minorEastAsia" w:eastAsiaTheme="minorEastAsia" w:cstheme="minorEastAsia"/>
                <w:b w:val="0"/>
                <w:bCs w:val="0"/>
                <w:sz w:val="20"/>
                <w:szCs w:val="20"/>
                <w:highlight w:val="none"/>
                <w:u w:val="none"/>
                <w:lang w:val="en-US" w:eastAsia="zh-CN"/>
              </w:rPr>
              <w:t>72</w:t>
            </w:r>
          </w:p>
        </w:tc>
        <w:tc>
          <w:tcPr>
            <w:tcW w:w="1032" w:type="pct"/>
            <w:noWrap w:val="0"/>
            <w:vAlign w:val="center"/>
          </w:tcPr>
          <w:p w14:paraId="3F7C1E6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0"/>
                <w:szCs w:val="20"/>
                <w:highlight w:val="none"/>
                <w:u w:val="none"/>
                <w:lang w:val="en-US" w:eastAsia="zh-CN"/>
              </w:rPr>
            </w:pPr>
            <w:r>
              <w:rPr>
                <w:rFonts w:hint="eastAsia" w:asciiTheme="minorEastAsia" w:hAnsiTheme="minorEastAsia" w:eastAsiaTheme="minorEastAsia" w:cstheme="minorEastAsia"/>
                <w:b w:val="0"/>
                <w:bCs w:val="0"/>
                <w:sz w:val="20"/>
                <w:szCs w:val="20"/>
                <w:highlight w:val="none"/>
                <w:u w:val="none"/>
                <w:lang w:val="en-US" w:eastAsia="zh-CN"/>
              </w:rPr>
              <w:t>68</w:t>
            </w:r>
          </w:p>
        </w:tc>
      </w:tr>
      <w:tr w14:paraId="2241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8" w:type="pct"/>
            <w:noWrap w:val="0"/>
            <w:vAlign w:val="center"/>
          </w:tcPr>
          <w:p w14:paraId="5E5CB7E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b w:val="0"/>
                <w:bCs w:val="0"/>
                <w:sz w:val="20"/>
                <w:szCs w:val="20"/>
                <w:highlight w:val="none"/>
                <w:u w:val="none"/>
                <w:lang w:val="en-US" w:eastAsia="zh-CN"/>
              </w:rPr>
            </w:pPr>
            <w:r>
              <w:rPr>
                <w:rFonts w:hint="eastAsia" w:asciiTheme="minorEastAsia" w:hAnsiTheme="minorEastAsia" w:eastAsiaTheme="minorEastAsia" w:cstheme="minorEastAsia"/>
                <w:b w:val="0"/>
                <w:bCs w:val="0"/>
                <w:sz w:val="20"/>
                <w:szCs w:val="20"/>
                <w:highlight w:val="none"/>
                <w:u w:val="none"/>
                <w:lang w:val="en-US" w:eastAsia="zh-CN"/>
              </w:rPr>
              <w:t>可滴定酸</w:t>
            </w:r>
            <w:r>
              <w:rPr>
                <w:rFonts w:hint="eastAsia" w:asciiTheme="minorEastAsia" w:hAnsiTheme="minorEastAsia" w:cstheme="minorEastAsia"/>
                <w:sz w:val="20"/>
                <w:szCs w:val="20"/>
                <w:highlight w:val="none"/>
              </w:rPr>
              <w:t>（以苹果酸计）</w:t>
            </w:r>
            <w:r>
              <w:rPr>
                <w:rFonts w:hint="eastAsia" w:asciiTheme="minorEastAsia" w:hAnsiTheme="minorEastAsia" w:eastAsiaTheme="minorEastAsia" w:cstheme="minorEastAsia"/>
                <w:b w:val="0"/>
                <w:bCs w:val="0"/>
                <w:sz w:val="20"/>
                <w:szCs w:val="20"/>
                <w:highlight w:val="none"/>
                <w:u w:val="none"/>
                <w:lang w:val="en-US" w:eastAsia="zh-CN"/>
              </w:rPr>
              <w:t>（g/kg）≤</w:t>
            </w:r>
          </w:p>
        </w:tc>
        <w:tc>
          <w:tcPr>
            <w:tcW w:w="917" w:type="pct"/>
            <w:noWrap w:val="0"/>
            <w:vAlign w:val="center"/>
          </w:tcPr>
          <w:p w14:paraId="5627E16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b w:val="0"/>
                <w:bCs w:val="0"/>
                <w:sz w:val="20"/>
                <w:szCs w:val="20"/>
                <w:highlight w:val="none"/>
                <w:u w:val="none"/>
                <w:lang w:val="en-US" w:eastAsia="zh-CN"/>
              </w:rPr>
            </w:pPr>
            <w:r>
              <w:rPr>
                <w:rFonts w:hint="eastAsia" w:asciiTheme="minorEastAsia" w:hAnsiTheme="minorEastAsia" w:eastAsiaTheme="minorEastAsia" w:cstheme="minorEastAsia"/>
                <w:b w:val="0"/>
                <w:bCs w:val="0"/>
                <w:sz w:val="20"/>
                <w:szCs w:val="20"/>
                <w:highlight w:val="none"/>
                <w:u w:val="none"/>
                <w:lang w:val="en-US" w:eastAsia="zh-CN"/>
              </w:rPr>
              <w:t>0.75</w:t>
            </w:r>
          </w:p>
        </w:tc>
        <w:tc>
          <w:tcPr>
            <w:tcW w:w="1031" w:type="pct"/>
            <w:noWrap w:val="0"/>
            <w:vAlign w:val="center"/>
          </w:tcPr>
          <w:p w14:paraId="717C1B0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b w:val="0"/>
                <w:bCs w:val="0"/>
                <w:sz w:val="20"/>
                <w:szCs w:val="20"/>
                <w:highlight w:val="none"/>
                <w:u w:val="none"/>
                <w:lang w:val="en-US" w:eastAsia="zh-CN"/>
              </w:rPr>
            </w:pPr>
            <w:r>
              <w:rPr>
                <w:rFonts w:hint="eastAsia" w:asciiTheme="minorEastAsia" w:hAnsiTheme="minorEastAsia" w:eastAsiaTheme="minorEastAsia" w:cstheme="minorEastAsia"/>
                <w:b w:val="0"/>
                <w:bCs w:val="0"/>
                <w:sz w:val="20"/>
                <w:szCs w:val="20"/>
                <w:highlight w:val="none"/>
                <w:u w:val="none"/>
                <w:lang w:val="en-US" w:eastAsia="zh-CN"/>
              </w:rPr>
              <w:t>0.85</w:t>
            </w:r>
          </w:p>
        </w:tc>
        <w:tc>
          <w:tcPr>
            <w:tcW w:w="1032" w:type="pct"/>
            <w:noWrap w:val="0"/>
            <w:vAlign w:val="center"/>
          </w:tcPr>
          <w:p w14:paraId="15CF9D6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b w:val="0"/>
                <w:bCs w:val="0"/>
                <w:sz w:val="20"/>
                <w:szCs w:val="20"/>
                <w:highlight w:val="none"/>
                <w:u w:val="none"/>
                <w:lang w:val="en-US" w:eastAsia="zh-CN"/>
              </w:rPr>
            </w:pPr>
            <w:r>
              <w:rPr>
                <w:rFonts w:hint="eastAsia" w:asciiTheme="minorEastAsia" w:hAnsiTheme="minorEastAsia" w:eastAsiaTheme="minorEastAsia" w:cstheme="minorEastAsia"/>
                <w:b w:val="0"/>
                <w:bCs w:val="0"/>
                <w:sz w:val="20"/>
                <w:szCs w:val="20"/>
                <w:highlight w:val="none"/>
                <w:u w:val="none"/>
                <w:lang w:val="en-US" w:eastAsia="zh-CN"/>
              </w:rPr>
              <w:t>1.0</w:t>
            </w:r>
          </w:p>
        </w:tc>
      </w:tr>
      <w:tr w14:paraId="0C8C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8" w:type="pct"/>
            <w:noWrap w:val="0"/>
            <w:vAlign w:val="center"/>
          </w:tcPr>
          <w:p w14:paraId="791C81A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b w:val="0"/>
                <w:bCs w:val="0"/>
                <w:sz w:val="20"/>
                <w:szCs w:val="20"/>
                <w:highlight w:val="none"/>
                <w:u w:val="none"/>
                <w:lang w:val="en-US" w:eastAsia="zh-CN"/>
              </w:rPr>
            </w:pPr>
            <w:r>
              <w:rPr>
                <w:rFonts w:hint="eastAsia" w:asciiTheme="minorEastAsia" w:hAnsiTheme="minorEastAsia" w:eastAsiaTheme="minorEastAsia" w:cstheme="minorEastAsia"/>
                <w:b w:val="0"/>
                <w:bCs w:val="0"/>
                <w:sz w:val="20"/>
                <w:szCs w:val="20"/>
                <w:highlight w:val="none"/>
                <w:u w:val="none"/>
                <w:lang w:val="en-US" w:eastAsia="zh-CN"/>
              </w:rPr>
              <w:t xml:space="preserve">可溶性固形物（%）          </w:t>
            </w:r>
            <w:r>
              <w:rPr>
                <w:rFonts w:hint="eastAsia" w:asciiTheme="minorEastAsia" w:hAnsiTheme="minorEastAsia" w:cstheme="minorEastAsia"/>
                <w:b w:val="0"/>
                <w:bCs w:val="0"/>
                <w:sz w:val="20"/>
                <w:szCs w:val="20"/>
                <w:highlight w:val="none"/>
                <w:u w:val="none"/>
                <w:lang w:val="en-US" w:eastAsia="zh-CN"/>
              </w:rPr>
              <w:t xml:space="preserve">   </w:t>
            </w:r>
            <w:r>
              <w:rPr>
                <w:rFonts w:hint="eastAsia" w:asciiTheme="minorEastAsia" w:hAnsiTheme="minorEastAsia" w:eastAsiaTheme="minorEastAsia" w:cstheme="minorEastAsia"/>
                <w:b w:val="0"/>
                <w:bCs w:val="0"/>
                <w:sz w:val="20"/>
                <w:szCs w:val="20"/>
                <w:highlight w:val="none"/>
                <w:u w:val="none"/>
                <w:lang w:val="en-US" w:eastAsia="zh-CN"/>
              </w:rPr>
              <w:t xml:space="preserve">≥                    </w:t>
            </w:r>
          </w:p>
        </w:tc>
        <w:tc>
          <w:tcPr>
            <w:tcW w:w="917" w:type="pct"/>
            <w:noWrap w:val="0"/>
            <w:vAlign w:val="center"/>
          </w:tcPr>
          <w:p w14:paraId="5507BFE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b w:val="0"/>
                <w:bCs w:val="0"/>
                <w:sz w:val="20"/>
                <w:szCs w:val="20"/>
                <w:highlight w:val="none"/>
                <w:u w:val="none"/>
                <w:lang w:val="en-US" w:eastAsia="zh-CN"/>
              </w:rPr>
            </w:pPr>
            <w:r>
              <w:rPr>
                <w:rFonts w:hint="eastAsia" w:asciiTheme="minorEastAsia" w:hAnsiTheme="minorEastAsia" w:eastAsiaTheme="minorEastAsia" w:cstheme="minorEastAsia"/>
                <w:b w:val="0"/>
                <w:bCs w:val="0"/>
                <w:sz w:val="20"/>
                <w:szCs w:val="20"/>
                <w:highlight w:val="none"/>
                <w:u w:val="none"/>
                <w:lang w:val="en-US" w:eastAsia="zh-CN"/>
              </w:rPr>
              <w:t>18.0</w:t>
            </w:r>
          </w:p>
        </w:tc>
        <w:tc>
          <w:tcPr>
            <w:tcW w:w="1031" w:type="pct"/>
            <w:noWrap w:val="0"/>
            <w:vAlign w:val="center"/>
          </w:tcPr>
          <w:p w14:paraId="30C46C4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b w:val="0"/>
                <w:bCs w:val="0"/>
                <w:sz w:val="20"/>
                <w:szCs w:val="20"/>
                <w:highlight w:val="none"/>
                <w:u w:val="none"/>
                <w:lang w:val="en-US" w:eastAsia="zh-CN"/>
              </w:rPr>
            </w:pPr>
            <w:r>
              <w:rPr>
                <w:rFonts w:hint="eastAsia" w:asciiTheme="minorEastAsia" w:hAnsiTheme="minorEastAsia" w:eastAsiaTheme="minorEastAsia" w:cstheme="minorEastAsia"/>
                <w:b w:val="0"/>
                <w:bCs w:val="0"/>
                <w:sz w:val="20"/>
                <w:szCs w:val="20"/>
                <w:highlight w:val="none"/>
                <w:u w:val="none"/>
                <w:lang w:val="en-US" w:eastAsia="zh-CN"/>
              </w:rPr>
              <w:t>17.0</w:t>
            </w:r>
          </w:p>
        </w:tc>
        <w:tc>
          <w:tcPr>
            <w:tcW w:w="1032" w:type="pct"/>
            <w:noWrap w:val="0"/>
            <w:vAlign w:val="center"/>
          </w:tcPr>
          <w:p w14:paraId="44DFE54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b w:val="0"/>
                <w:bCs w:val="0"/>
                <w:sz w:val="20"/>
                <w:szCs w:val="20"/>
                <w:highlight w:val="none"/>
                <w:u w:val="none"/>
                <w:lang w:val="en-US" w:eastAsia="zh-CN"/>
              </w:rPr>
            </w:pPr>
            <w:r>
              <w:rPr>
                <w:rFonts w:hint="eastAsia" w:asciiTheme="minorEastAsia" w:hAnsiTheme="minorEastAsia" w:eastAsiaTheme="minorEastAsia" w:cstheme="minorEastAsia"/>
                <w:b w:val="0"/>
                <w:bCs w:val="0"/>
                <w:sz w:val="20"/>
                <w:szCs w:val="20"/>
                <w:highlight w:val="none"/>
                <w:u w:val="none"/>
                <w:lang w:val="en-US" w:eastAsia="zh-CN"/>
              </w:rPr>
              <w:t>16.0</w:t>
            </w:r>
          </w:p>
        </w:tc>
      </w:tr>
      <w:tr w14:paraId="03F0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8" w:type="pct"/>
            <w:noWrap w:val="0"/>
            <w:vAlign w:val="center"/>
          </w:tcPr>
          <w:p w14:paraId="6B553350">
            <w:pPr>
              <w:keepNext w:val="0"/>
              <w:keepLines w:val="0"/>
              <w:pageBreakBefore w:val="0"/>
              <w:widowControl w:val="0"/>
              <w:tabs>
                <w:tab w:val="left" w:pos="630"/>
              </w:tabs>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b w:val="0"/>
                <w:bCs w:val="0"/>
                <w:sz w:val="20"/>
                <w:szCs w:val="20"/>
                <w:highlight w:val="none"/>
                <w:u w:val="none"/>
                <w:lang w:val="en-US" w:eastAsia="zh-CN"/>
              </w:rPr>
            </w:pPr>
            <w:r>
              <w:rPr>
                <w:rFonts w:hint="eastAsia" w:asciiTheme="minorEastAsia" w:hAnsiTheme="minorEastAsia" w:eastAsiaTheme="minorEastAsia" w:cstheme="minorEastAsia"/>
                <w:b w:val="0"/>
                <w:bCs w:val="0"/>
                <w:sz w:val="20"/>
                <w:szCs w:val="20"/>
                <w:highlight w:val="none"/>
                <w:u w:val="none"/>
                <w:lang w:val="en-US" w:eastAsia="zh-CN"/>
              </w:rPr>
              <w:t xml:space="preserve">维生素C（mg/100g）       </w:t>
            </w:r>
            <w:r>
              <w:rPr>
                <w:rFonts w:hint="eastAsia" w:asciiTheme="minorEastAsia" w:hAnsiTheme="minorEastAsia" w:cstheme="minorEastAsia"/>
                <w:b w:val="0"/>
                <w:bCs w:val="0"/>
                <w:sz w:val="20"/>
                <w:szCs w:val="20"/>
                <w:highlight w:val="none"/>
                <w:u w:val="none"/>
                <w:lang w:val="en-US" w:eastAsia="zh-CN"/>
              </w:rPr>
              <w:t xml:space="preserve">     </w:t>
            </w:r>
            <w:r>
              <w:rPr>
                <w:rFonts w:hint="eastAsia" w:asciiTheme="minorEastAsia" w:hAnsiTheme="minorEastAsia" w:eastAsiaTheme="minorEastAsia" w:cstheme="minorEastAsia"/>
                <w:b w:val="0"/>
                <w:bCs w:val="0"/>
                <w:sz w:val="20"/>
                <w:szCs w:val="20"/>
                <w:highlight w:val="none"/>
                <w:u w:val="none"/>
                <w:lang w:val="en-US" w:eastAsia="zh-CN"/>
              </w:rPr>
              <w:t>≥</w:t>
            </w:r>
          </w:p>
        </w:tc>
        <w:tc>
          <w:tcPr>
            <w:tcW w:w="917" w:type="pct"/>
            <w:noWrap w:val="0"/>
            <w:vAlign w:val="center"/>
          </w:tcPr>
          <w:p w14:paraId="352B837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0"/>
                <w:szCs w:val="20"/>
                <w:highlight w:val="none"/>
                <w:u w:val="none"/>
                <w:lang w:val="en-US" w:eastAsia="zh-CN"/>
              </w:rPr>
            </w:pPr>
            <w:r>
              <w:rPr>
                <w:rFonts w:hint="eastAsia" w:asciiTheme="minorEastAsia" w:hAnsiTheme="minorEastAsia" w:eastAsiaTheme="minorEastAsia" w:cstheme="minorEastAsia"/>
                <w:b w:val="0"/>
                <w:bCs w:val="0"/>
                <w:sz w:val="20"/>
                <w:szCs w:val="20"/>
                <w:highlight w:val="none"/>
                <w:u w:val="none"/>
                <w:lang w:val="en-US" w:eastAsia="zh-CN"/>
              </w:rPr>
              <w:t>12.0</w:t>
            </w:r>
          </w:p>
        </w:tc>
        <w:tc>
          <w:tcPr>
            <w:tcW w:w="1031" w:type="pct"/>
            <w:noWrap w:val="0"/>
            <w:vAlign w:val="center"/>
          </w:tcPr>
          <w:p w14:paraId="3D3F343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0"/>
                <w:szCs w:val="20"/>
                <w:highlight w:val="none"/>
                <w:u w:val="none"/>
                <w:lang w:val="en-US" w:eastAsia="zh-CN"/>
              </w:rPr>
            </w:pPr>
            <w:r>
              <w:rPr>
                <w:rFonts w:hint="eastAsia" w:asciiTheme="minorEastAsia" w:hAnsiTheme="minorEastAsia" w:eastAsiaTheme="minorEastAsia" w:cstheme="minorEastAsia"/>
                <w:b w:val="0"/>
                <w:bCs w:val="0"/>
                <w:sz w:val="20"/>
                <w:szCs w:val="20"/>
                <w:highlight w:val="none"/>
                <w:u w:val="none"/>
                <w:lang w:val="en-US" w:eastAsia="zh-CN"/>
              </w:rPr>
              <w:t>10.0</w:t>
            </w:r>
          </w:p>
        </w:tc>
        <w:tc>
          <w:tcPr>
            <w:tcW w:w="1032" w:type="pct"/>
            <w:noWrap w:val="0"/>
            <w:vAlign w:val="center"/>
          </w:tcPr>
          <w:p w14:paraId="1C7E6E7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b w:val="0"/>
                <w:bCs w:val="0"/>
                <w:sz w:val="20"/>
                <w:szCs w:val="20"/>
                <w:highlight w:val="none"/>
                <w:u w:val="none"/>
                <w:lang w:val="en-US" w:eastAsia="zh-CN"/>
              </w:rPr>
            </w:pPr>
            <w:r>
              <w:rPr>
                <w:rFonts w:hint="eastAsia" w:asciiTheme="minorEastAsia" w:hAnsiTheme="minorEastAsia" w:eastAsiaTheme="minorEastAsia" w:cstheme="minorEastAsia"/>
                <w:b w:val="0"/>
                <w:bCs w:val="0"/>
                <w:sz w:val="20"/>
                <w:szCs w:val="20"/>
                <w:highlight w:val="none"/>
                <w:u w:val="none"/>
                <w:lang w:val="en-US" w:eastAsia="zh-CN"/>
              </w:rPr>
              <w:t>-</w:t>
            </w:r>
          </w:p>
        </w:tc>
      </w:tr>
    </w:tbl>
    <w:p w14:paraId="3A4EAAF7">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四、标准可能带来的经济和社会影响评估</w:t>
      </w:r>
    </w:p>
    <w:p w14:paraId="39E2277B">
      <w:pPr>
        <w:numPr>
          <w:ilvl w:val="0"/>
          <w:numId w:val="0"/>
        </w:numPr>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通过本标准的发布及在深圳农产品质量提升联盟内应用，将有效推动深圳市高品质</w:t>
      </w:r>
      <w:r>
        <w:rPr>
          <w:rFonts w:hint="eastAsia" w:eastAsia="仿宋_GB2312" w:cs="Times New Roman"/>
          <w:sz w:val="32"/>
          <w:szCs w:val="32"/>
          <w:highlight w:val="none"/>
          <w:lang w:val="en-US" w:eastAsia="zh-CN"/>
        </w:rPr>
        <w:t>白糖罂荔枝</w:t>
      </w:r>
      <w:r>
        <w:rPr>
          <w:rFonts w:hint="eastAsia" w:ascii="仿宋_GB2312" w:eastAsia="仿宋_GB2312"/>
          <w:sz w:val="32"/>
          <w:szCs w:val="32"/>
          <w:lang w:eastAsia="zh-CN"/>
        </w:rPr>
        <w:t>产品的发展，对开展深圳市农产品监管监测、农产品生产经营等具有积极的指导作用。</w:t>
      </w:r>
    </w:p>
    <w:p w14:paraId="363347DB">
      <w:pPr>
        <w:spacing w:line="360" w:lineRule="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、团体标准先进性说明</w:t>
      </w:r>
    </w:p>
    <w:p w14:paraId="57AE2527">
      <w:pPr>
        <w:spacing w:line="360" w:lineRule="auto"/>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本标准在制定过程中，充分考虑了国内</w:t>
      </w:r>
      <w:r>
        <w:rPr>
          <w:rFonts w:hint="eastAsia" w:eastAsia="仿宋_GB2312" w:cs="Times New Roman"/>
          <w:sz w:val="32"/>
          <w:szCs w:val="32"/>
          <w:highlight w:val="none"/>
          <w:lang w:val="en-US" w:eastAsia="zh-CN"/>
        </w:rPr>
        <w:t>白糖罂荔枝</w:t>
      </w:r>
      <w:r>
        <w:rPr>
          <w:rFonts w:hint="eastAsia" w:ascii="仿宋_GB2312" w:eastAsia="仿宋_GB2312"/>
          <w:sz w:val="32"/>
          <w:szCs w:val="32"/>
          <w:lang w:val="en-US" w:eastAsia="zh-CN"/>
        </w:rPr>
        <w:t>产业现状和行业发展的市场需求，与现有标准相比，能够更好地满足市场和消费者的实际需求，在内容上达到国内先进水平。</w:t>
      </w:r>
    </w:p>
    <w:p w14:paraId="41C930A5">
      <w:pPr>
        <w:spacing w:line="360" w:lineRule="auto"/>
        <w:rPr>
          <w:rFonts w:hint="eastAsia" w:ascii="黑体" w:hAnsi="黑体" w:eastAsia="黑体" w:cs="黑体"/>
          <w:sz w:val="32"/>
          <w:szCs w:val="32"/>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、征求意见</w:t>
      </w:r>
      <w:r>
        <w:rPr>
          <w:rFonts w:hint="eastAsia" w:ascii="黑体" w:hAnsi="黑体" w:eastAsia="黑体" w:cs="黑体"/>
          <w:sz w:val="32"/>
          <w:szCs w:val="32"/>
          <w:lang w:eastAsia="zh-CN"/>
        </w:rPr>
        <w:t>的采纳情况</w:t>
      </w:r>
    </w:p>
    <w:p w14:paraId="121DCF80">
      <w:pPr>
        <w:keepNext w:val="0"/>
        <w:keepLines w:val="0"/>
        <w:pageBreakBefore w:val="0"/>
        <w:widowControl w:val="0"/>
        <w:kinsoku/>
        <w:wordWrap/>
        <w:overflowPunct/>
        <w:topLinePunct w:val="0"/>
        <w:autoSpaceDE/>
        <w:autoSpaceDN/>
        <w:bidi w:val="0"/>
        <w:adjustRightInd/>
        <w:snapToGrid/>
        <w:spacing w:after="157" w:afterLines="50"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标准征求意见稿于2025年 </w:t>
      </w:r>
      <w:bookmarkStart w:id="0" w:name="_GoBack"/>
      <w:bookmarkEnd w:id="0"/>
      <w:r>
        <w:rPr>
          <w:rFonts w:hint="eastAsia" w:ascii="仿宋_GB2312" w:eastAsia="仿宋_GB2312"/>
          <w:sz w:val="32"/>
          <w:szCs w:val="32"/>
          <w:lang w:val="en-US" w:eastAsia="zh-CN"/>
        </w:rPr>
        <w:t>月至 月在深圳市农业产业化龙头企业协会及全国团体标准信息平台公开征求意见，期间共收集意见反馈  条，采纳  条。</w:t>
      </w:r>
    </w:p>
    <w:tbl>
      <w:tblPr>
        <w:tblStyle w:val="6"/>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050"/>
        <w:gridCol w:w="2351"/>
        <w:gridCol w:w="1506"/>
        <w:gridCol w:w="1243"/>
        <w:gridCol w:w="1577"/>
      </w:tblGrid>
      <w:tr w14:paraId="7DAA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678" w:type="dxa"/>
            <w:tcBorders>
              <w:top w:val="single" w:color="auto" w:sz="4" w:space="0"/>
              <w:left w:val="single" w:color="auto" w:sz="4" w:space="0"/>
              <w:bottom w:val="single" w:color="auto" w:sz="4" w:space="0"/>
              <w:right w:val="single" w:color="auto" w:sz="4" w:space="0"/>
            </w:tcBorders>
            <w:vAlign w:val="center"/>
          </w:tcPr>
          <w:p w14:paraId="656F4BA0">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1050" w:type="dxa"/>
            <w:tcBorders>
              <w:top w:val="single" w:color="auto" w:sz="4" w:space="0"/>
              <w:left w:val="single" w:color="auto" w:sz="4" w:space="0"/>
              <w:bottom w:val="single" w:color="auto" w:sz="4" w:space="0"/>
              <w:right w:val="single" w:color="auto" w:sz="4" w:space="0"/>
            </w:tcBorders>
            <w:vAlign w:val="center"/>
          </w:tcPr>
          <w:p w14:paraId="282B95A8">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章条</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编号</w:t>
            </w:r>
          </w:p>
        </w:tc>
        <w:tc>
          <w:tcPr>
            <w:tcW w:w="2351" w:type="dxa"/>
            <w:tcBorders>
              <w:top w:val="single" w:color="auto" w:sz="4" w:space="0"/>
              <w:left w:val="single" w:color="auto" w:sz="4" w:space="0"/>
              <w:bottom w:val="single" w:color="auto" w:sz="4" w:space="0"/>
              <w:right w:val="single" w:color="auto" w:sz="4" w:space="0"/>
            </w:tcBorders>
            <w:vAlign w:val="center"/>
          </w:tcPr>
          <w:p w14:paraId="12ACC77C">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意见内容</w:t>
            </w:r>
          </w:p>
        </w:tc>
        <w:tc>
          <w:tcPr>
            <w:tcW w:w="1506" w:type="dxa"/>
            <w:tcBorders>
              <w:top w:val="single" w:color="auto" w:sz="4" w:space="0"/>
              <w:left w:val="single" w:color="auto" w:sz="4" w:space="0"/>
              <w:bottom w:val="single" w:color="auto" w:sz="4" w:space="0"/>
              <w:right w:val="single" w:color="auto" w:sz="4" w:space="0"/>
            </w:tcBorders>
            <w:vAlign w:val="center"/>
          </w:tcPr>
          <w:p w14:paraId="520187EA">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提出单位</w:t>
            </w:r>
          </w:p>
          <w:p w14:paraId="02DB75A8">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(写全称)</w:t>
            </w:r>
          </w:p>
        </w:tc>
        <w:tc>
          <w:tcPr>
            <w:tcW w:w="1243" w:type="dxa"/>
            <w:tcBorders>
              <w:top w:val="single" w:color="auto" w:sz="4" w:space="0"/>
              <w:left w:val="single" w:color="auto" w:sz="4" w:space="0"/>
              <w:bottom w:val="single" w:color="auto" w:sz="4" w:space="0"/>
              <w:right w:val="single" w:color="auto" w:sz="4" w:space="0"/>
            </w:tcBorders>
            <w:vAlign w:val="center"/>
          </w:tcPr>
          <w:p w14:paraId="007EF730">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处理意见</w:t>
            </w:r>
          </w:p>
        </w:tc>
        <w:tc>
          <w:tcPr>
            <w:tcW w:w="1577" w:type="dxa"/>
            <w:tcBorders>
              <w:top w:val="single" w:color="auto" w:sz="4" w:space="0"/>
              <w:left w:val="single" w:color="auto" w:sz="4" w:space="0"/>
              <w:bottom w:val="single" w:color="auto" w:sz="4" w:space="0"/>
              <w:right w:val="single" w:color="auto" w:sz="4" w:space="0"/>
            </w:tcBorders>
            <w:vAlign w:val="center"/>
          </w:tcPr>
          <w:p w14:paraId="70A616A6">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备注</w:t>
            </w:r>
          </w:p>
        </w:tc>
      </w:tr>
      <w:tr w14:paraId="7D84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8" w:hRule="atLeast"/>
        </w:trPr>
        <w:tc>
          <w:tcPr>
            <w:tcW w:w="678" w:type="dxa"/>
            <w:tcBorders>
              <w:top w:val="single" w:color="auto" w:sz="4" w:space="0"/>
              <w:left w:val="single" w:color="auto" w:sz="4" w:space="0"/>
              <w:bottom w:val="single" w:color="auto" w:sz="4" w:space="0"/>
              <w:right w:val="single" w:color="auto" w:sz="4" w:space="0"/>
            </w:tcBorders>
            <w:vAlign w:val="center"/>
          </w:tcPr>
          <w:p w14:paraId="32F4C416">
            <w:pPr>
              <w:spacing w:line="360" w:lineRule="auto"/>
              <w:jc w:val="center"/>
              <w:rPr>
                <w:rFonts w:hint="eastAsia" w:ascii="仿宋_GB2312" w:hAnsi="仿宋_GB2312" w:eastAsia="仿宋_GB2312" w:cs="仿宋_GB2312"/>
                <w:sz w:val="24"/>
                <w:lang w:val="en-US" w:eastAsia="zh-CN"/>
              </w:rPr>
            </w:pPr>
          </w:p>
        </w:tc>
        <w:tc>
          <w:tcPr>
            <w:tcW w:w="1050" w:type="dxa"/>
            <w:tcBorders>
              <w:top w:val="single" w:color="auto" w:sz="4" w:space="0"/>
              <w:left w:val="single" w:color="auto" w:sz="4" w:space="0"/>
              <w:bottom w:val="single" w:color="auto" w:sz="4" w:space="0"/>
              <w:right w:val="single" w:color="auto" w:sz="4" w:space="0"/>
            </w:tcBorders>
            <w:vAlign w:val="center"/>
          </w:tcPr>
          <w:p w14:paraId="205909DB">
            <w:pPr>
              <w:spacing w:line="360" w:lineRule="auto"/>
              <w:jc w:val="center"/>
              <w:rPr>
                <w:rFonts w:hint="eastAsia" w:ascii="仿宋_GB2312" w:hAnsi="仿宋_GB2312" w:eastAsia="仿宋_GB2312" w:cs="仿宋_GB2312"/>
                <w:sz w:val="24"/>
                <w:lang w:val="en-US" w:eastAsia="zh-CN"/>
              </w:rPr>
            </w:pPr>
          </w:p>
        </w:tc>
        <w:tc>
          <w:tcPr>
            <w:tcW w:w="2351" w:type="dxa"/>
            <w:tcBorders>
              <w:top w:val="single" w:color="auto" w:sz="4" w:space="0"/>
              <w:left w:val="single" w:color="auto" w:sz="4" w:space="0"/>
              <w:bottom w:val="single" w:color="auto" w:sz="4" w:space="0"/>
              <w:right w:val="single" w:color="auto" w:sz="4" w:space="0"/>
            </w:tcBorders>
            <w:vAlign w:val="center"/>
          </w:tcPr>
          <w:p w14:paraId="1F4AB905">
            <w:pPr>
              <w:spacing w:line="360" w:lineRule="auto"/>
              <w:jc w:val="both"/>
              <w:rPr>
                <w:rFonts w:hint="eastAsia" w:ascii="仿宋_GB2312" w:hAnsi="仿宋_GB2312" w:eastAsia="仿宋_GB2312" w:cs="仿宋_GB2312"/>
                <w:sz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62985876">
            <w:pPr>
              <w:spacing w:line="360" w:lineRule="auto"/>
              <w:jc w:val="center"/>
              <w:rPr>
                <w:rFonts w:hint="eastAsia" w:ascii="仿宋_GB2312" w:hAnsi="仿宋_GB2312" w:eastAsia="仿宋_GB2312" w:cs="仿宋_GB2312"/>
                <w:sz w:val="24"/>
              </w:rPr>
            </w:pPr>
          </w:p>
        </w:tc>
        <w:tc>
          <w:tcPr>
            <w:tcW w:w="1243" w:type="dxa"/>
            <w:tcBorders>
              <w:top w:val="single" w:color="auto" w:sz="4" w:space="0"/>
              <w:left w:val="single" w:color="auto" w:sz="4" w:space="0"/>
              <w:bottom w:val="single" w:color="auto" w:sz="4" w:space="0"/>
              <w:right w:val="single" w:color="auto" w:sz="4" w:space="0"/>
            </w:tcBorders>
            <w:vAlign w:val="center"/>
          </w:tcPr>
          <w:p w14:paraId="07CE5707">
            <w:pPr>
              <w:spacing w:line="360" w:lineRule="auto"/>
              <w:jc w:val="center"/>
              <w:rPr>
                <w:rFonts w:hint="eastAsia" w:ascii="仿宋_GB2312" w:hAnsi="仿宋_GB2312" w:eastAsia="仿宋_GB2312" w:cs="仿宋_GB2312"/>
                <w:sz w:val="24"/>
                <w:lang w:eastAsia="zh-CN"/>
              </w:rPr>
            </w:pPr>
          </w:p>
        </w:tc>
        <w:tc>
          <w:tcPr>
            <w:tcW w:w="1577" w:type="dxa"/>
            <w:tcBorders>
              <w:top w:val="single" w:color="auto" w:sz="4" w:space="0"/>
              <w:left w:val="single" w:color="auto" w:sz="4" w:space="0"/>
              <w:bottom w:val="single" w:color="auto" w:sz="4" w:space="0"/>
              <w:right w:val="single" w:color="auto" w:sz="4" w:space="0"/>
            </w:tcBorders>
            <w:vAlign w:val="center"/>
          </w:tcPr>
          <w:p w14:paraId="4C60DCE1">
            <w:pPr>
              <w:spacing w:line="360" w:lineRule="auto"/>
              <w:jc w:val="both"/>
              <w:rPr>
                <w:rFonts w:hint="eastAsia" w:ascii="仿宋_GB2312" w:hAnsi="仿宋_GB2312" w:eastAsia="仿宋_GB2312" w:cs="仿宋_GB2312"/>
                <w:sz w:val="24"/>
                <w:lang w:eastAsia="zh-CN"/>
              </w:rPr>
            </w:pPr>
          </w:p>
        </w:tc>
      </w:tr>
    </w:tbl>
    <w:p w14:paraId="1ABDB750">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、其它应予说明的事项</w:t>
      </w:r>
    </w:p>
    <w:p w14:paraId="4E01B292">
      <w:pPr>
        <w:tabs>
          <w:tab w:val="left" w:pos="2373"/>
        </w:tabs>
        <w:bidi w:val="0"/>
        <w:ind w:firstLine="640" w:firstLineChars="200"/>
        <w:jc w:val="left"/>
        <w:rPr>
          <w:lang w:val="en-US" w:eastAsia="zh-CN"/>
        </w:rPr>
      </w:pPr>
      <w:r>
        <w:rPr>
          <w:rFonts w:hint="eastAsia" w:ascii="仿宋_GB2312" w:eastAsia="仿宋_GB2312"/>
          <w:sz w:val="32"/>
          <w:szCs w:val="32"/>
        </w:rPr>
        <w:t>本标准适用于</w:t>
      </w:r>
      <w:r>
        <w:rPr>
          <w:rFonts w:hint="eastAsia" w:ascii="仿宋_GB2312" w:eastAsia="仿宋_GB2312"/>
          <w:sz w:val="32"/>
          <w:szCs w:val="32"/>
          <w:lang w:eastAsia="zh-CN"/>
        </w:rPr>
        <w:t>深圳市农产品质量提升联盟</w:t>
      </w:r>
      <w:r>
        <w:rPr>
          <w:rFonts w:hint="eastAsia" w:ascii="仿宋_GB2312" w:eastAsia="仿宋_GB2312"/>
          <w:sz w:val="32"/>
          <w:szCs w:val="32"/>
        </w:rPr>
        <w:t>高品质</w:t>
      </w:r>
      <w:r>
        <w:rPr>
          <w:rFonts w:hint="eastAsia" w:eastAsia="仿宋_GB2312" w:cs="Times New Roman"/>
          <w:sz w:val="32"/>
          <w:szCs w:val="32"/>
          <w:highlight w:val="none"/>
          <w:lang w:val="en-US" w:eastAsia="zh-CN"/>
        </w:rPr>
        <w:t>白糖罂荔枝</w:t>
      </w:r>
      <w:r>
        <w:rPr>
          <w:rFonts w:hint="eastAsia" w:ascii="仿宋_GB2312" w:eastAsia="仿宋_GB2312"/>
          <w:sz w:val="32"/>
          <w:szCs w:val="32"/>
        </w:rPr>
        <w:t>，</w:t>
      </w:r>
      <w:r>
        <w:rPr>
          <w:rFonts w:hint="eastAsia" w:ascii="仿宋_GB2312" w:eastAsia="仿宋_GB2312"/>
          <w:sz w:val="32"/>
          <w:szCs w:val="32"/>
          <w:lang w:eastAsia="zh-CN"/>
        </w:rPr>
        <w:t>品质分级</w:t>
      </w:r>
      <w:r>
        <w:rPr>
          <w:rFonts w:hint="eastAsia" w:ascii="仿宋_GB2312" w:eastAsia="仿宋_GB2312"/>
          <w:sz w:val="32"/>
          <w:szCs w:val="32"/>
        </w:rPr>
        <w:t>项目及指标将每年根据</w:t>
      </w:r>
      <w:r>
        <w:rPr>
          <w:rFonts w:hint="eastAsia" w:ascii="仿宋_GB2312" w:eastAsia="仿宋_GB2312"/>
          <w:sz w:val="32"/>
          <w:szCs w:val="32"/>
          <w:lang w:eastAsia="zh-CN"/>
        </w:rPr>
        <w:t>国内</w:t>
      </w:r>
      <w:r>
        <w:rPr>
          <w:rFonts w:hint="eastAsia" w:eastAsia="仿宋_GB2312" w:cs="Times New Roman"/>
          <w:sz w:val="32"/>
          <w:szCs w:val="32"/>
          <w:highlight w:val="none"/>
          <w:lang w:val="en-US" w:eastAsia="zh-CN"/>
        </w:rPr>
        <w:t>白糖罂荔枝</w:t>
      </w:r>
      <w:r>
        <w:rPr>
          <w:rFonts w:hint="eastAsia" w:ascii="仿宋_GB2312" w:eastAsia="仿宋_GB2312"/>
          <w:sz w:val="32"/>
          <w:szCs w:val="32"/>
        </w:rPr>
        <w:t>相关</w:t>
      </w:r>
      <w:r>
        <w:rPr>
          <w:rFonts w:hint="eastAsia" w:ascii="仿宋_GB2312" w:eastAsia="仿宋_GB2312"/>
          <w:sz w:val="32"/>
          <w:szCs w:val="32"/>
          <w:lang w:eastAsia="zh-CN"/>
        </w:rPr>
        <w:t>标准</w:t>
      </w:r>
      <w:r>
        <w:rPr>
          <w:rFonts w:hint="eastAsia" w:ascii="仿宋_GB2312" w:eastAsia="仿宋_GB2312"/>
          <w:sz w:val="32"/>
          <w:szCs w:val="32"/>
        </w:rPr>
        <w:t>要求的变更进行相应调整</w:t>
      </w:r>
      <w:r>
        <w:rPr>
          <w:rFonts w:hint="eastAsia" w:ascii="仿宋_GB2312" w:eastAsia="仿宋_GB2312"/>
          <w:sz w:val="32"/>
          <w:szCs w:val="32"/>
          <w:lang w:eastAsia="zh-CN"/>
        </w:rPr>
        <w:t>。</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3436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D948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EFD948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64A20"/>
    <w:multiLevelType w:val="singleLevel"/>
    <w:tmpl w:val="A3664A20"/>
    <w:lvl w:ilvl="0" w:tentative="0">
      <w:start w:val="1"/>
      <w:numFmt w:val="decimal"/>
      <w:suff w:val="nothing"/>
      <w:lvlText w:val="（%1）"/>
      <w:lvlJc w:val="left"/>
    </w:lvl>
  </w:abstractNum>
  <w:abstractNum w:abstractNumId="1">
    <w:nsid w:val="BB1EFE31"/>
    <w:multiLevelType w:val="singleLevel"/>
    <w:tmpl w:val="BB1EFE31"/>
    <w:lvl w:ilvl="0" w:tentative="0">
      <w:start w:val="2"/>
      <w:numFmt w:val="chineseCounting"/>
      <w:suff w:val="nothing"/>
      <w:lvlText w:val="（%1）"/>
      <w:lvlJc w:val="left"/>
      <w:rPr>
        <w:rFonts w:hint="eastAsia"/>
      </w:rPr>
    </w:lvl>
  </w:abstractNum>
  <w:abstractNum w:abstractNumId="2">
    <w:nsid w:val="EA02FFF4"/>
    <w:multiLevelType w:val="singleLevel"/>
    <w:tmpl w:val="EA02FFF4"/>
    <w:lvl w:ilvl="0" w:tentative="0">
      <w:start w:val="1"/>
      <w:numFmt w:val="chineseCounting"/>
      <w:suff w:val="nothing"/>
      <w:lvlText w:val="（%1）"/>
      <w:lvlJc w:val="left"/>
      <w:pPr>
        <w:ind w:left="640" w:leftChars="0" w:firstLine="0" w:firstLineChars="0"/>
      </w:pPr>
      <w:rPr>
        <w:rFonts w:hint="eastAsia"/>
      </w:rPr>
    </w:lvl>
  </w:abstractNum>
  <w:abstractNum w:abstractNumId="3">
    <w:nsid w:val="032E5610"/>
    <w:multiLevelType w:val="singleLevel"/>
    <w:tmpl w:val="032E5610"/>
    <w:lvl w:ilvl="0" w:tentative="0">
      <w:start w:val="2"/>
      <w:numFmt w:val="chineseCounting"/>
      <w:suff w:val="nothing"/>
      <w:lvlText w:val="%1、"/>
      <w:lvlJc w:val="left"/>
      <w:rPr>
        <w:rFonts w:hint="eastAsia"/>
      </w:rPr>
    </w:lvl>
  </w:abstractNum>
  <w:abstractNum w:abstractNumId="4">
    <w:nsid w:val="408D83F7"/>
    <w:multiLevelType w:val="singleLevel"/>
    <w:tmpl w:val="408D83F7"/>
    <w:lvl w:ilvl="0" w:tentative="0">
      <w:start w:val="2"/>
      <w:numFmt w:val="chineseCounting"/>
      <w:suff w:val="nothing"/>
      <w:lvlText w:val="（%1）"/>
      <w:lvlJc w:val="left"/>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xYjFiMTAxNGYzYjNjMTc2ODc4NzdkNzIzNzMyNDQifQ=="/>
  </w:docVars>
  <w:rsids>
    <w:rsidRoot w:val="007B00FE"/>
    <w:rsid w:val="00251DD7"/>
    <w:rsid w:val="006F037C"/>
    <w:rsid w:val="007B00FE"/>
    <w:rsid w:val="00A64C49"/>
    <w:rsid w:val="00C837BB"/>
    <w:rsid w:val="00F47C0A"/>
    <w:rsid w:val="011E0236"/>
    <w:rsid w:val="03783E0A"/>
    <w:rsid w:val="045F6B9B"/>
    <w:rsid w:val="063858F6"/>
    <w:rsid w:val="06EE14DC"/>
    <w:rsid w:val="07230354"/>
    <w:rsid w:val="088E3EF3"/>
    <w:rsid w:val="089A478D"/>
    <w:rsid w:val="089E152A"/>
    <w:rsid w:val="08E33E8F"/>
    <w:rsid w:val="09EF4C97"/>
    <w:rsid w:val="0AA7729E"/>
    <w:rsid w:val="0AC97464"/>
    <w:rsid w:val="0B1D58FE"/>
    <w:rsid w:val="0C272694"/>
    <w:rsid w:val="0E462B7A"/>
    <w:rsid w:val="106A6FF4"/>
    <w:rsid w:val="113373E5"/>
    <w:rsid w:val="11482EBF"/>
    <w:rsid w:val="117F48B9"/>
    <w:rsid w:val="12A549E0"/>
    <w:rsid w:val="133E6515"/>
    <w:rsid w:val="13D84274"/>
    <w:rsid w:val="142D3EF2"/>
    <w:rsid w:val="14D1667B"/>
    <w:rsid w:val="15074457"/>
    <w:rsid w:val="153B0F83"/>
    <w:rsid w:val="158C27EA"/>
    <w:rsid w:val="15AE34DE"/>
    <w:rsid w:val="170B670F"/>
    <w:rsid w:val="18E13BCB"/>
    <w:rsid w:val="194A79C2"/>
    <w:rsid w:val="19520625"/>
    <w:rsid w:val="195B5909"/>
    <w:rsid w:val="19B94B48"/>
    <w:rsid w:val="1AB04E2D"/>
    <w:rsid w:val="1B997BC3"/>
    <w:rsid w:val="1BFE7CB7"/>
    <w:rsid w:val="1DC76D67"/>
    <w:rsid w:val="1E7E08AD"/>
    <w:rsid w:val="2051788A"/>
    <w:rsid w:val="207277FE"/>
    <w:rsid w:val="21773466"/>
    <w:rsid w:val="2450749E"/>
    <w:rsid w:val="24B7666D"/>
    <w:rsid w:val="24ED56A6"/>
    <w:rsid w:val="25E25DA3"/>
    <w:rsid w:val="26570C4B"/>
    <w:rsid w:val="26902766"/>
    <w:rsid w:val="286363AA"/>
    <w:rsid w:val="28A90122"/>
    <w:rsid w:val="28DC7F0B"/>
    <w:rsid w:val="29CE1F49"/>
    <w:rsid w:val="29FF65A7"/>
    <w:rsid w:val="2A091F98"/>
    <w:rsid w:val="2AB32E3C"/>
    <w:rsid w:val="2AE71242"/>
    <w:rsid w:val="2B2251B9"/>
    <w:rsid w:val="2B7E4063"/>
    <w:rsid w:val="2B8A1EA0"/>
    <w:rsid w:val="2BDC3E44"/>
    <w:rsid w:val="2BFE692D"/>
    <w:rsid w:val="2C2C1541"/>
    <w:rsid w:val="2C324C66"/>
    <w:rsid w:val="2CC3566A"/>
    <w:rsid w:val="2DFD4010"/>
    <w:rsid w:val="2ED5358C"/>
    <w:rsid w:val="2F3C1703"/>
    <w:rsid w:val="2FBE65BC"/>
    <w:rsid w:val="326E7E26"/>
    <w:rsid w:val="33C00B55"/>
    <w:rsid w:val="34B47F8E"/>
    <w:rsid w:val="34F0546A"/>
    <w:rsid w:val="35A46254"/>
    <w:rsid w:val="35CD3896"/>
    <w:rsid w:val="36996F01"/>
    <w:rsid w:val="369D33CF"/>
    <w:rsid w:val="37397DA9"/>
    <w:rsid w:val="37533A8E"/>
    <w:rsid w:val="37C329C2"/>
    <w:rsid w:val="391D3E4B"/>
    <w:rsid w:val="39700927"/>
    <w:rsid w:val="3A916DA7"/>
    <w:rsid w:val="3ACC0DB7"/>
    <w:rsid w:val="3ACC6A18"/>
    <w:rsid w:val="3B516536"/>
    <w:rsid w:val="3BEE3D1E"/>
    <w:rsid w:val="3CA628B2"/>
    <w:rsid w:val="3D5D5666"/>
    <w:rsid w:val="3E5756D5"/>
    <w:rsid w:val="3F0538C0"/>
    <w:rsid w:val="410A1661"/>
    <w:rsid w:val="418F1B67"/>
    <w:rsid w:val="4262727B"/>
    <w:rsid w:val="44851742"/>
    <w:rsid w:val="453B44DF"/>
    <w:rsid w:val="453C3DB3"/>
    <w:rsid w:val="468C2A4E"/>
    <w:rsid w:val="476873C0"/>
    <w:rsid w:val="482E032B"/>
    <w:rsid w:val="4856518C"/>
    <w:rsid w:val="48765269"/>
    <w:rsid w:val="48D43CFA"/>
    <w:rsid w:val="49070B73"/>
    <w:rsid w:val="49142F9E"/>
    <w:rsid w:val="49E113CD"/>
    <w:rsid w:val="4A663DFD"/>
    <w:rsid w:val="4AAA60D5"/>
    <w:rsid w:val="4B10699D"/>
    <w:rsid w:val="4CB55416"/>
    <w:rsid w:val="4D6E4D26"/>
    <w:rsid w:val="4E4F6905"/>
    <w:rsid w:val="4F155DA1"/>
    <w:rsid w:val="4FEE214E"/>
    <w:rsid w:val="5015592D"/>
    <w:rsid w:val="513B7615"/>
    <w:rsid w:val="52BB7FB0"/>
    <w:rsid w:val="53420CD4"/>
    <w:rsid w:val="53B06098"/>
    <w:rsid w:val="541F4FCC"/>
    <w:rsid w:val="54AB5DA7"/>
    <w:rsid w:val="55366A71"/>
    <w:rsid w:val="55713CC5"/>
    <w:rsid w:val="55B07EC1"/>
    <w:rsid w:val="56082A83"/>
    <w:rsid w:val="572E74B9"/>
    <w:rsid w:val="57911D3D"/>
    <w:rsid w:val="57C121AB"/>
    <w:rsid w:val="58BB5497"/>
    <w:rsid w:val="5A7122F9"/>
    <w:rsid w:val="5A8C2C8F"/>
    <w:rsid w:val="5BA64343"/>
    <w:rsid w:val="5BEA2363"/>
    <w:rsid w:val="5C115B42"/>
    <w:rsid w:val="5C5F69F5"/>
    <w:rsid w:val="5CF16E85"/>
    <w:rsid w:val="5DB26EB1"/>
    <w:rsid w:val="5EE4309A"/>
    <w:rsid w:val="5F225B34"/>
    <w:rsid w:val="5F24652D"/>
    <w:rsid w:val="5FB23DB8"/>
    <w:rsid w:val="601644B3"/>
    <w:rsid w:val="60B371C8"/>
    <w:rsid w:val="60EC4488"/>
    <w:rsid w:val="614A4199"/>
    <w:rsid w:val="61691F7C"/>
    <w:rsid w:val="62FC19D5"/>
    <w:rsid w:val="647C11CB"/>
    <w:rsid w:val="64D82F71"/>
    <w:rsid w:val="66833198"/>
    <w:rsid w:val="66FC2F4B"/>
    <w:rsid w:val="6787579F"/>
    <w:rsid w:val="67C223E6"/>
    <w:rsid w:val="67DD292A"/>
    <w:rsid w:val="6848469A"/>
    <w:rsid w:val="6A3A44B6"/>
    <w:rsid w:val="6B4D1FC7"/>
    <w:rsid w:val="6B9F6CC6"/>
    <w:rsid w:val="6B9F7ED9"/>
    <w:rsid w:val="6C334D13"/>
    <w:rsid w:val="6C9C4D78"/>
    <w:rsid w:val="6E150C55"/>
    <w:rsid w:val="6E983479"/>
    <w:rsid w:val="72150C78"/>
    <w:rsid w:val="72E2318E"/>
    <w:rsid w:val="73613DC2"/>
    <w:rsid w:val="73852DA3"/>
    <w:rsid w:val="73D85920"/>
    <w:rsid w:val="74F9638D"/>
    <w:rsid w:val="758B1AF7"/>
    <w:rsid w:val="75C8506C"/>
    <w:rsid w:val="75F5268D"/>
    <w:rsid w:val="762C1C24"/>
    <w:rsid w:val="76740D50"/>
    <w:rsid w:val="77D00A78"/>
    <w:rsid w:val="78554CE5"/>
    <w:rsid w:val="788D49D6"/>
    <w:rsid w:val="79B37DE1"/>
    <w:rsid w:val="79B50CA1"/>
    <w:rsid w:val="7A37456E"/>
    <w:rsid w:val="7A7E3F4B"/>
    <w:rsid w:val="7B4E0432"/>
    <w:rsid w:val="7C107AA5"/>
    <w:rsid w:val="7D851DF9"/>
    <w:rsid w:val="7E9A50CB"/>
    <w:rsid w:val="7EFB4F6E"/>
    <w:rsid w:val="7F256561"/>
    <w:rsid w:val="7F903B7C"/>
    <w:rsid w:val="7FDB6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First Indent 2"/>
    <w:basedOn w:val="2"/>
    <w:unhideWhenUsed/>
    <w:qFormat/>
    <w:uiPriority w:val="99"/>
    <w:pPr>
      <w:ind w:firstLine="420" w:firstLineChars="200"/>
    </w:p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0"/>
    <w:rPr>
      <w:sz w:val="18"/>
      <w:szCs w:val="18"/>
    </w:rPr>
  </w:style>
  <w:style w:type="character" w:customStyle="1" w:styleId="10">
    <w:name w:val="页脚 Char"/>
    <w:basedOn w:val="8"/>
    <w:link w:val="3"/>
    <w:autoRedefine/>
    <w:qFormat/>
    <w:uiPriority w:val="99"/>
    <w:rPr>
      <w:sz w:val="18"/>
      <w:szCs w:val="18"/>
    </w:rPr>
  </w:style>
  <w:style w:type="character" w:customStyle="1" w:styleId="11">
    <w:name w:val="font31"/>
    <w:basedOn w:val="8"/>
    <w:qFormat/>
    <w:uiPriority w:val="0"/>
    <w:rPr>
      <w:rFonts w:hint="eastAsia" w:ascii="宋体" w:hAnsi="宋体" w:eastAsia="宋体" w:cs="宋体"/>
      <w:color w:val="000000"/>
      <w:sz w:val="21"/>
      <w:szCs w:val="21"/>
      <w:u w:val="none"/>
      <w:vertAlign w:val="superscript"/>
    </w:rPr>
  </w:style>
  <w:style w:type="character" w:customStyle="1" w:styleId="12">
    <w:name w:val="font1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9</Pages>
  <Words>2290</Words>
  <Characters>2644</Characters>
  <Lines>1</Lines>
  <Paragraphs>1</Paragraphs>
  <TotalTime>21</TotalTime>
  <ScaleCrop>false</ScaleCrop>
  <LinksUpToDate>false</LinksUpToDate>
  <CharactersWithSpaces>2786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2019-06-17T00:49:00Z</dcterms:created>
  <dc:creator>陈炜霖</dc:creator>
  <cp:lastModifiedBy>陌殇</cp:lastModifiedBy>
  <dcterms:modified xsi:type="dcterms:W3CDTF">2025-04-14T01:16:13Z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B735F8F9E00F4BCD851962BABB4EB001_12</vt:lpwstr>
  </property>
  <property fmtid="{D5CDD505-2E9C-101B-9397-08002B2CF9AE}" pid="4" name="KSOTemplateDocerSaveRecord">
    <vt:lpwstr>eyJoZGlkIjoiZjNhMWZiZjQ4YTFjMmFiYmM5OTAzMDJmZjc3NTQyZGUiLCJ1c2VySWQiOiIyNjY5NzMxMDUifQ==</vt:lpwstr>
  </property>
</Properties>
</file>