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60EF4">
      <w:pPr>
        <w:spacing w:line="360" w:lineRule="auto"/>
        <w:jc w:val="center"/>
        <w:rPr>
          <w:rFonts w:ascii="宋体" w:hAnsi="宋体" w:cs="宋体"/>
          <w:b/>
          <w:bCs/>
          <w:sz w:val="36"/>
          <w:szCs w:val="36"/>
        </w:rPr>
      </w:pPr>
      <w:r>
        <w:rPr>
          <w:rFonts w:hint="eastAsia" w:ascii="黑体" w:hAnsi="黑体" w:eastAsia="黑体" w:cs="黑体"/>
          <w:sz w:val="36"/>
          <w:szCs w:val="36"/>
        </w:rPr>
        <w:t>《水果分级标准  储良龙眼》编制说明</w:t>
      </w:r>
    </w:p>
    <w:p w14:paraId="56B26C2D">
      <w:pPr>
        <w:spacing w:line="360" w:lineRule="auto"/>
        <w:rPr>
          <w:rFonts w:ascii="黑体" w:hAnsi="黑体" w:eastAsia="黑体" w:cs="黑体"/>
          <w:sz w:val="32"/>
          <w:szCs w:val="32"/>
        </w:rPr>
      </w:pPr>
      <w:r>
        <w:rPr>
          <w:rFonts w:hint="eastAsia" w:ascii="黑体" w:hAnsi="黑体" w:eastAsia="黑体" w:cs="黑体"/>
          <w:sz w:val="32"/>
          <w:szCs w:val="32"/>
        </w:rPr>
        <w:t>一、基本情况</w:t>
      </w:r>
    </w:p>
    <w:p w14:paraId="6ADF2663">
      <w:pPr>
        <w:spacing w:line="360" w:lineRule="auto"/>
        <w:ind w:firstLine="640"/>
        <w:rPr>
          <w:rFonts w:ascii="仿宋_GB2312" w:eastAsia="仿宋_GB2312"/>
          <w:sz w:val="32"/>
          <w:szCs w:val="32"/>
        </w:rPr>
      </w:pPr>
      <w:r>
        <w:rPr>
          <w:rFonts w:hint="eastAsia" w:ascii="仿宋_GB2312" w:eastAsia="仿宋_GB2312"/>
          <w:sz w:val="32"/>
          <w:szCs w:val="32"/>
        </w:rPr>
        <w:t>（一）任务来源</w:t>
      </w:r>
    </w:p>
    <w:p w14:paraId="4E09C233">
      <w:pPr>
        <w:spacing w:line="360" w:lineRule="auto"/>
        <w:ind w:firstLine="640"/>
        <w:rPr>
          <w:rFonts w:ascii="仿宋_GB2312" w:eastAsia="仿宋_GB2312"/>
          <w:sz w:val="32"/>
          <w:szCs w:val="32"/>
        </w:rPr>
      </w:pPr>
      <w:r>
        <w:rPr>
          <w:rFonts w:ascii="仿宋_GB2312" w:eastAsia="仿宋_GB2312"/>
          <w:sz w:val="32"/>
          <w:szCs w:val="32"/>
        </w:rPr>
        <w:t>为落实农业农村部关于加快水果提档升级的有关部署，加强水果“三品一标”建设和质量安全监管，</w:t>
      </w:r>
      <w:r>
        <w:rPr>
          <w:rFonts w:hint="eastAsia" w:ascii="仿宋_GB2312" w:eastAsia="仿宋_GB2312"/>
          <w:sz w:val="32"/>
          <w:szCs w:val="32"/>
        </w:rPr>
        <w:t>按照</w:t>
      </w:r>
      <w:r>
        <w:rPr>
          <w:rFonts w:ascii="仿宋_GB2312" w:eastAsia="仿宋_GB2312"/>
          <w:sz w:val="32"/>
          <w:szCs w:val="32"/>
        </w:rPr>
        <w:t>深圳市市场监督管理局</w:t>
      </w:r>
      <w:r>
        <w:rPr>
          <w:rFonts w:hint="eastAsia" w:ascii="仿宋_GB2312" w:eastAsia="仿宋_GB2312"/>
          <w:sz w:val="32"/>
          <w:szCs w:val="32"/>
        </w:rPr>
        <w:t>关于开展《深圳市水果质量分级试点工作方案》要求，</w:t>
      </w:r>
      <w:r>
        <w:rPr>
          <w:rFonts w:hint="eastAsia" w:eastAsia="仿宋_GB2312"/>
          <w:sz w:val="32"/>
          <w:szCs w:val="32"/>
        </w:rPr>
        <w:t>成立深圳水果质量分级试点工作专班，由标准研制组负责制定《水果分级标准 储良龙眼》。</w:t>
      </w:r>
    </w:p>
    <w:p w14:paraId="45083307">
      <w:pPr>
        <w:numPr>
          <w:ilvl w:val="0"/>
          <w:numId w:val="1"/>
        </w:numPr>
        <w:spacing w:line="360" w:lineRule="auto"/>
        <w:ind w:firstLine="640"/>
        <w:rPr>
          <w:rFonts w:ascii="仿宋_GB2312" w:eastAsia="仿宋_GB2312"/>
          <w:sz w:val="32"/>
          <w:szCs w:val="32"/>
        </w:rPr>
      </w:pPr>
      <w:r>
        <w:rPr>
          <w:rFonts w:hint="eastAsia" w:ascii="仿宋_GB2312" w:eastAsia="仿宋_GB2312"/>
          <w:sz w:val="32"/>
          <w:szCs w:val="32"/>
        </w:rPr>
        <w:t>起草单位、起草人</w:t>
      </w:r>
    </w:p>
    <w:p w14:paraId="7548BD14">
      <w:pPr>
        <w:spacing w:line="360" w:lineRule="auto"/>
        <w:ind w:firstLine="640"/>
        <w:rPr>
          <w:rFonts w:eastAsia="仿宋_GB2312"/>
          <w:sz w:val="32"/>
          <w:szCs w:val="32"/>
        </w:rPr>
      </w:pPr>
      <w:r>
        <w:rPr>
          <w:rFonts w:hint="eastAsia" w:eastAsia="仿宋_GB2312"/>
          <w:sz w:val="32"/>
          <w:szCs w:val="32"/>
        </w:rPr>
        <w:t>起草单位：</w:t>
      </w:r>
    </w:p>
    <w:p w14:paraId="34959CD1">
      <w:pPr>
        <w:spacing w:line="360" w:lineRule="auto"/>
        <w:ind w:firstLine="640"/>
        <w:rPr>
          <w:rFonts w:eastAsia="仿宋_GB2312"/>
          <w:sz w:val="32"/>
          <w:szCs w:val="32"/>
        </w:rPr>
      </w:pPr>
      <w:r>
        <w:rPr>
          <w:rFonts w:hint="eastAsia" w:eastAsia="仿宋_GB2312"/>
          <w:sz w:val="32"/>
          <w:szCs w:val="32"/>
        </w:rPr>
        <w:t>主要起草人：</w:t>
      </w:r>
    </w:p>
    <w:p w14:paraId="12B64A5A">
      <w:pPr>
        <w:numPr>
          <w:ilvl w:val="0"/>
          <w:numId w:val="1"/>
        </w:numPr>
        <w:spacing w:line="360" w:lineRule="auto"/>
        <w:ind w:firstLine="640"/>
        <w:rPr>
          <w:rFonts w:ascii="仿宋_GB2312" w:eastAsia="仿宋_GB2312"/>
          <w:sz w:val="32"/>
          <w:szCs w:val="32"/>
        </w:rPr>
      </w:pPr>
      <w:r>
        <w:rPr>
          <w:rFonts w:hint="eastAsia" w:ascii="仿宋_GB2312" w:eastAsia="仿宋_GB2312"/>
          <w:sz w:val="32"/>
          <w:szCs w:val="32"/>
        </w:rPr>
        <w:t>立项背景和意义</w:t>
      </w:r>
    </w:p>
    <w:p w14:paraId="001C0B7D">
      <w:pPr>
        <w:ind w:firstLine="640" w:firstLineChars="200"/>
        <w:rPr>
          <w:rFonts w:ascii="仿宋_GB2312" w:eastAsia="仿宋_GB2312"/>
          <w:sz w:val="32"/>
          <w:szCs w:val="32"/>
        </w:rPr>
      </w:pPr>
      <w:r>
        <w:rPr>
          <w:rFonts w:ascii="仿宋_GB2312" w:eastAsia="仿宋_GB2312"/>
          <w:sz w:val="32"/>
          <w:szCs w:val="32"/>
        </w:rPr>
        <w:t>为适应当前农产品消费结构升级大趋势，加快构建以质量提升为核心的优质水果发展体系，根据《深圳市水果质量分级试点工作方案》要求，研制包括</w:t>
      </w:r>
      <w:r>
        <w:rPr>
          <w:rFonts w:hint="eastAsia" w:ascii="仿宋_GB2312" w:eastAsia="仿宋_GB2312"/>
          <w:sz w:val="32"/>
          <w:szCs w:val="32"/>
        </w:rPr>
        <w:t>储良龙眼</w:t>
      </w:r>
      <w:r>
        <w:rPr>
          <w:rFonts w:ascii="仿宋_GB2312" w:eastAsia="仿宋_GB2312"/>
          <w:sz w:val="32"/>
          <w:szCs w:val="32"/>
        </w:rPr>
        <w:t>在内的水果质量分级标准。在深圳市农产品质量提升联盟内应用，并逐步向社会推广，推动水果产业提档升级。</w:t>
      </w:r>
    </w:p>
    <w:p w14:paraId="070D2A59">
      <w:pPr>
        <w:spacing w:line="360" w:lineRule="auto"/>
        <w:ind w:left="640"/>
        <w:rPr>
          <w:rFonts w:ascii="仿宋_GB2312" w:eastAsia="仿宋_GB2312"/>
          <w:sz w:val="32"/>
          <w:szCs w:val="32"/>
        </w:rPr>
      </w:pPr>
      <w:r>
        <w:rPr>
          <w:rFonts w:hint="eastAsia" w:ascii="仿宋_GB2312" w:eastAsia="仿宋_GB2312"/>
          <w:sz w:val="32"/>
          <w:szCs w:val="32"/>
        </w:rPr>
        <w:t>（四）简要起草过程</w:t>
      </w:r>
    </w:p>
    <w:p w14:paraId="4F3D57F5">
      <w:pPr>
        <w:ind w:firstLine="640" w:firstLineChars="200"/>
        <w:rPr>
          <w:rFonts w:ascii="仿宋_GB2312" w:eastAsia="仿宋_GB2312"/>
          <w:sz w:val="32"/>
          <w:szCs w:val="32"/>
        </w:rPr>
      </w:pPr>
      <w:r>
        <w:rPr>
          <w:rFonts w:hint="eastAsia" w:ascii="仿宋_GB2312" w:eastAsia="仿宋_GB2312"/>
          <w:sz w:val="32"/>
          <w:szCs w:val="32"/>
        </w:rPr>
        <w:t>接到项目委托任务后，我单位即成立了标准起草工作组，根据《深圳市水果质量分级试点工作方案》等相关要求，制定了起草工作方案，并进行了分工落实，主要过程如下:</w:t>
      </w:r>
    </w:p>
    <w:p w14:paraId="3DF8809C">
      <w:pPr>
        <w:ind w:firstLine="640" w:firstLineChars="200"/>
        <w:rPr>
          <w:rFonts w:ascii="仿宋_GB2312" w:eastAsia="仿宋_GB2312"/>
          <w:sz w:val="32"/>
          <w:szCs w:val="32"/>
        </w:rPr>
      </w:pPr>
      <w:r>
        <w:rPr>
          <w:rFonts w:hint="eastAsia" w:ascii="仿宋_GB2312" w:eastAsia="仿宋_GB2312"/>
          <w:sz w:val="32"/>
          <w:szCs w:val="32"/>
        </w:rPr>
        <w:t>2024年9月至12月:对国内外相关标准、论文等信息资料进行调研，了解国内外龙眼标准及相关研究现状；通过实地调研等形式了解储良龙眼的相关情况。</w:t>
      </w:r>
    </w:p>
    <w:p w14:paraId="31A924DA">
      <w:pPr>
        <w:ind w:firstLine="640" w:firstLineChars="200"/>
        <w:rPr>
          <w:rFonts w:ascii="仿宋_GB2312" w:eastAsia="仿宋_GB2312"/>
          <w:sz w:val="32"/>
          <w:szCs w:val="32"/>
        </w:rPr>
      </w:pPr>
      <w:r>
        <w:rPr>
          <w:rFonts w:hint="eastAsia" w:ascii="仿宋_GB2312" w:eastAsia="仿宋_GB2312"/>
          <w:sz w:val="32"/>
          <w:szCs w:val="32"/>
        </w:rPr>
        <w:t>2025年1月至3月:通过标准比对、数据收集等确定主要技术指标和阈值范围，完成标准编制说明及编制标准征求意见稿。</w:t>
      </w:r>
    </w:p>
    <w:p w14:paraId="088A8324">
      <w:pPr>
        <w:ind w:firstLine="640" w:firstLineChars="200"/>
        <w:rPr>
          <w:rFonts w:ascii="仿宋_GB2312" w:eastAsia="仿宋_GB2312"/>
          <w:sz w:val="32"/>
          <w:szCs w:val="32"/>
        </w:rPr>
      </w:pPr>
      <w:r>
        <w:rPr>
          <w:rFonts w:hint="eastAsia" w:ascii="仿宋_GB2312" w:eastAsia="仿宋_GB2312"/>
          <w:sz w:val="32"/>
          <w:szCs w:val="32"/>
        </w:rPr>
        <w:t>2025年4月至5月:对标准进行立项并公开征求意见，根据反馈意见进行汇总修改，形成标准送审稿供专家评审，根据评审意见完善标准，形成标准报批稿报送相关单位报批。</w:t>
      </w:r>
    </w:p>
    <w:p w14:paraId="4708879E">
      <w:pPr>
        <w:numPr>
          <w:ilvl w:val="0"/>
          <w:numId w:val="2"/>
        </w:numPr>
        <w:spacing w:line="360" w:lineRule="auto"/>
        <w:rPr>
          <w:rFonts w:ascii="黑体" w:hAnsi="黑体" w:eastAsia="黑体" w:cs="黑体"/>
          <w:sz w:val="32"/>
          <w:szCs w:val="32"/>
        </w:rPr>
      </w:pPr>
      <w:r>
        <w:rPr>
          <w:rFonts w:hint="eastAsia" w:ascii="黑体" w:hAnsi="黑体" w:eastAsia="黑体" w:cs="黑体"/>
          <w:sz w:val="32"/>
          <w:szCs w:val="32"/>
        </w:rPr>
        <w:t>与现行有关法律法规和其他标准的关系</w:t>
      </w:r>
    </w:p>
    <w:p w14:paraId="7A48723C">
      <w:pPr>
        <w:spacing w:line="360" w:lineRule="auto"/>
        <w:ind w:firstLine="640" w:firstLineChars="200"/>
        <w:rPr>
          <w:rFonts w:ascii="仿宋_GB2312" w:eastAsia="仿宋_GB2312"/>
          <w:sz w:val="32"/>
          <w:szCs w:val="32"/>
        </w:rPr>
      </w:pPr>
      <w:r>
        <w:rPr>
          <w:rFonts w:hint="eastAsia" w:ascii="仿宋_GB2312" w:eastAsia="仿宋_GB2312"/>
          <w:sz w:val="32"/>
          <w:szCs w:val="32"/>
        </w:rPr>
        <w:t>（一）与现行法律、法规的关系</w:t>
      </w:r>
    </w:p>
    <w:p w14:paraId="0323C1EE">
      <w:pPr>
        <w:spacing w:line="360" w:lineRule="auto"/>
        <w:ind w:firstLine="640" w:firstLineChars="200"/>
        <w:rPr>
          <w:rFonts w:ascii="仿宋_GB2312" w:eastAsia="仿宋_GB2312"/>
          <w:sz w:val="32"/>
          <w:szCs w:val="32"/>
        </w:rPr>
      </w:pPr>
      <w:r>
        <w:rPr>
          <w:rFonts w:hint="eastAsia" w:ascii="仿宋_GB2312" w:eastAsia="仿宋_GB2312"/>
          <w:sz w:val="32"/>
          <w:szCs w:val="32"/>
        </w:rPr>
        <w:t>本标准是以我国相关法律、法规和标准为基础，依据《中华人民共和国农产品质量安全法》、《中华人民共和国食品安全法》，结合“深圳企业+市外种植”发展模式和国内龙眼行业发展需要制定出来的推荐性标准，是为适应新形势下国家对水果产业高质量发展需要而提出与制定的，与现行法律法规无冲突。</w:t>
      </w:r>
    </w:p>
    <w:p w14:paraId="2B8B72B7">
      <w:pPr>
        <w:pStyle w:val="6"/>
        <w:numPr>
          <w:ilvl w:val="0"/>
          <w:numId w:val="3"/>
        </w:numPr>
        <w:ind w:left="0" w:leftChars="0" w:firstLine="640"/>
        <w:rPr>
          <w:rFonts w:ascii="仿宋_GB2312" w:eastAsia="仿宋_GB2312"/>
          <w:sz w:val="32"/>
          <w:szCs w:val="32"/>
        </w:rPr>
      </w:pPr>
      <w:r>
        <w:rPr>
          <w:rFonts w:hint="eastAsia" w:ascii="仿宋_GB2312" w:eastAsia="仿宋_GB2312"/>
          <w:sz w:val="32"/>
          <w:szCs w:val="32"/>
        </w:rPr>
        <w:t>食品安全国家标准、国家标准、行业标准等现行标准的关系</w:t>
      </w:r>
    </w:p>
    <w:p w14:paraId="6CA238C1">
      <w:pPr>
        <w:pStyle w:val="6"/>
        <w:spacing w:after="0"/>
        <w:ind w:left="0" w:leftChars="0" w:firstLine="640" w:firstLineChars="0"/>
        <w:rPr>
          <w:rFonts w:ascii="仿宋_GB2312" w:eastAsia="仿宋_GB2312"/>
          <w:sz w:val="32"/>
          <w:szCs w:val="32"/>
        </w:rPr>
      </w:pPr>
      <w:r>
        <w:rPr>
          <w:rFonts w:hint="eastAsia" w:ascii="仿宋_GB2312" w:eastAsia="仿宋_GB2312"/>
          <w:sz w:val="32"/>
          <w:szCs w:val="32"/>
        </w:rPr>
        <w:t>通过对比GB 2760《食品安全国家标准食品添加剂使用标准》、GB 2762《食品安全国家标准食品中污染物限量》、GB 2763《食品安全国家标准食品中农药最大残留限量》、GB/T 31735《龙眼》、NY/T 516《龙眼》、NY/T 2260《龙眼等级规格》等国内龙眼现行有效的食品安全国家标准、国家标准、行业标准，本标准与目前涉及龙眼相关食品安全国家标准、国家标准、行业标准等无冲突。</w:t>
      </w:r>
    </w:p>
    <w:p w14:paraId="6CADF239">
      <w:pPr>
        <w:pStyle w:val="6"/>
        <w:numPr>
          <w:ilvl w:val="0"/>
          <w:numId w:val="3"/>
        </w:numPr>
        <w:ind w:left="0" w:leftChars="0" w:firstLine="640"/>
        <w:rPr>
          <w:rFonts w:ascii="仿宋_GB2312" w:eastAsia="仿宋_GB2312"/>
          <w:sz w:val="32"/>
          <w:szCs w:val="32"/>
        </w:rPr>
      </w:pPr>
      <w:r>
        <w:rPr>
          <w:rFonts w:hint="eastAsia" w:ascii="仿宋_GB2312" w:eastAsia="仿宋_GB2312"/>
          <w:sz w:val="32"/>
          <w:szCs w:val="32"/>
        </w:rPr>
        <w:t>与国外标准的关系</w:t>
      </w:r>
    </w:p>
    <w:p w14:paraId="39693100">
      <w:pPr>
        <w:pStyle w:val="6"/>
        <w:ind w:left="0" w:leftChars="0" w:firstLine="0" w:firstLineChars="0"/>
      </w:pPr>
      <w:r>
        <w:rPr>
          <w:rFonts w:hint="eastAsia" w:ascii="仿宋_GB2312" w:eastAsia="仿宋_GB2312"/>
          <w:sz w:val="32"/>
          <w:szCs w:val="32"/>
        </w:rPr>
        <w:t xml:space="preserve">    通过对比CODEX STAN 220-1999《国际食品法典标准 龙眼》、TAS 1-2003《龙眼》、TCVN 9768-2013《鲜龙眼》等国外标准，本标准与国外标准无冲突。</w:t>
      </w:r>
    </w:p>
    <w:p w14:paraId="00115BF0">
      <w:pPr>
        <w:numPr>
          <w:ilvl w:val="0"/>
          <w:numId w:val="2"/>
        </w:numPr>
        <w:spacing w:line="360" w:lineRule="auto"/>
        <w:rPr>
          <w:rFonts w:ascii="黑体" w:hAnsi="黑体" w:eastAsia="黑体" w:cs="黑体"/>
          <w:sz w:val="32"/>
          <w:szCs w:val="32"/>
        </w:rPr>
      </w:pPr>
      <w:r>
        <w:rPr>
          <w:rFonts w:hint="eastAsia" w:ascii="黑体" w:hAnsi="黑体" w:eastAsia="黑体" w:cs="黑体"/>
          <w:sz w:val="32"/>
          <w:szCs w:val="32"/>
        </w:rPr>
        <w:t>主要技术内容确定依据</w:t>
      </w:r>
    </w:p>
    <w:p w14:paraId="3A0AE42F">
      <w:pPr>
        <w:numPr>
          <w:ilvl w:val="0"/>
          <w:numId w:val="4"/>
        </w:numPr>
        <w:spacing w:line="360" w:lineRule="auto"/>
        <w:rPr>
          <w:rFonts w:ascii="仿宋_GB2312" w:eastAsia="仿宋_GB2312"/>
          <w:sz w:val="32"/>
          <w:szCs w:val="32"/>
        </w:rPr>
      </w:pPr>
      <w:r>
        <w:rPr>
          <w:rFonts w:hint="eastAsia" w:ascii="仿宋_GB2312" w:eastAsia="仿宋_GB2312"/>
          <w:sz w:val="32"/>
          <w:szCs w:val="32"/>
        </w:rPr>
        <w:t>标准编制原则</w:t>
      </w:r>
    </w:p>
    <w:p w14:paraId="29D2E64E">
      <w:pPr>
        <w:ind w:firstLine="640" w:firstLineChars="200"/>
        <w:rPr>
          <w:rFonts w:ascii="仿宋_GB2312" w:eastAsia="仿宋_GB2312"/>
          <w:sz w:val="32"/>
          <w:szCs w:val="32"/>
        </w:rPr>
      </w:pPr>
      <w:r>
        <w:rPr>
          <w:rFonts w:ascii="仿宋_GB2312" w:eastAsia="仿宋_GB2312"/>
          <w:sz w:val="32"/>
          <w:szCs w:val="32"/>
        </w:rPr>
        <w:t>本标准的编制遵循科学性、规范性、适用性和可操作性原则，标准按GB/T 1.1《标准化工作导则第1部分:标准的结构和编写》给出的规则进行起草。</w:t>
      </w:r>
    </w:p>
    <w:p w14:paraId="21576CF2">
      <w:pPr>
        <w:ind w:firstLine="640" w:firstLineChars="200"/>
        <w:rPr>
          <w:rFonts w:ascii="仿宋_GB2312" w:eastAsia="仿宋_GB2312"/>
          <w:sz w:val="32"/>
          <w:szCs w:val="32"/>
        </w:rPr>
      </w:pPr>
      <w:r>
        <w:rPr>
          <w:rFonts w:ascii="仿宋_GB2312" w:eastAsia="仿宋_GB2312"/>
          <w:sz w:val="32"/>
          <w:szCs w:val="32"/>
        </w:rPr>
        <w:t>标准内容制定遵循以下原则:</w:t>
      </w:r>
      <w:r>
        <w:rPr>
          <w:rFonts w:hint="eastAsia" w:ascii="仿宋_GB2312" w:eastAsia="仿宋_GB2312"/>
          <w:sz w:val="32"/>
          <w:szCs w:val="32"/>
        </w:rPr>
        <w:t>追溯要求</w:t>
      </w:r>
      <w:r>
        <w:rPr>
          <w:rFonts w:ascii="仿宋_GB2312" w:eastAsia="仿宋_GB2312"/>
          <w:sz w:val="32"/>
          <w:szCs w:val="32"/>
        </w:rPr>
        <w:t>、</w:t>
      </w:r>
      <w:r>
        <w:rPr>
          <w:rFonts w:hint="eastAsia" w:ascii="仿宋_GB2312" w:eastAsia="仿宋_GB2312"/>
          <w:sz w:val="32"/>
          <w:szCs w:val="32"/>
        </w:rPr>
        <w:t>安全要求</w:t>
      </w:r>
      <w:r>
        <w:rPr>
          <w:rFonts w:ascii="仿宋_GB2312" w:eastAsia="仿宋_GB2312"/>
          <w:sz w:val="32"/>
          <w:szCs w:val="32"/>
        </w:rPr>
        <w:t>、</w:t>
      </w:r>
      <w:r>
        <w:rPr>
          <w:rFonts w:hint="eastAsia" w:ascii="仿宋_GB2312" w:eastAsia="仿宋_GB2312"/>
          <w:sz w:val="32"/>
          <w:szCs w:val="32"/>
        </w:rPr>
        <w:t>外观要求</w:t>
      </w:r>
      <w:r>
        <w:rPr>
          <w:rFonts w:ascii="仿宋_GB2312" w:eastAsia="仿宋_GB2312"/>
          <w:sz w:val="32"/>
          <w:szCs w:val="32"/>
        </w:rPr>
        <w:t>等指标在符合</w:t>
      </w:r>
      <w:r>
        <w:rPr>
          <w:rFonts w:hint="eastAsia" w:ascii="仿宋_GB2312" w:eastAsia="仿宋_GB2312"/>
          <w:sz w:val="32"/>
          <w:szCs w:val="32"/>
        </w:rPr>
        <w:t>《中华人民共和国农产品质量安全法》、</w:t>
      </w:r>
      <w:r>
        <w:rPr>
          <w:rFonts w:ascii="仿宋_GB2312" w:eastAsia="仿宋_GB2312"/>
          <w:sz w:val="32"/>
          <w:szCs w:val="32"/>
        </w:rPr>
        <w:t>食品安全国家标准前提下，结合</w:t>
      </w:r>
      <w:r>
        <w:rPr>
          <w:rFonts w:hint="eastAsia" w:ascii="仿宋_GB2312" w:eastAsia="仿宋_GB2312"/>
          <w:sz w:val="32"/>
          <w:szCs w:val="32"/>
        </w:rPr>
        <w:t>深圳市</w:t>
      </w:r>
      <w:r>
        <w:rPr>
          <w:rFonts w:ascii="仿宋_GB2312" w:eastAsia="仿宋_GB2312"/>
          <w:sz w:val="32"/>
          <w:szCs w:val="32"/>
        </w:rPr>
        <w:t>实际需求、比较分析国家标准、行业标准、地方标准，在保证技术指标科学性的前提下，选用更严格的指标</w:t>
      </w:r>
      <w:r>
        <w:rPr>
          <w:rFonts w:hint="eastAsia" w:ascii="仿宋_GB2312" w:eastAsia="仿宋_GB2312"/>
          <w:sz w:val="32"/>
          <w:szCs w:val="32"/>
        </w:rPr>
        <w:t>；</w:t>
      </w:r>
      <w:r>
        <w:rPr>
          <w:rFonts w:ascii="仿宋_GB2312" w:eastAsia="仿宋_GB2312"/>
          <w:sz w:val="32"/>
          <w:szCs w:val="32"/>
        </w:rPr>
        <w:t>遵循“科学、严谨、高品质”原则下，重点突出</w:t>
      </w:r>
      <w:r>
        <w:rPr>
          <w:rFonts w:hint="eastAsia" w:ascii="仿宋_GB2312" w:eastAsia="仿宋_GB2312"/>
          <w:sz w:val="32"/>
          <w:szCs w:val="32"/>
        </w:rPr>
        <w:t>品质</w:t>
      </w:r>
      <w:r>
        <w:rPr>
          <w:rFonts w:ascii="仿宋_GB2312" w:eastAsia="仿宋_GB2312"/>
          <w:sz w:val="32"/>
          <w:szCs w:val="32"/>
        </w:rPr>
        <w:t>指标，形成</w:t>
      </w:r>
      <w:r>
        <w:rPr>
          <w:rFonts w:hint="eastAsia" w:ascii="仿宋_GB2312" w:eastAsia="仿宋_GB2312"/>
          <w:sz w:val="32"/>
          <w:szCs w:val="32"/>
        </w:rPr>
        <w:t>在</w:t>
      </w:r>
      <w:r>
        <w:rPr>
          <w:rFonts w:ascii="仿宋_GB2312" w:eastAsia="仿宋_GB2312"/>
          <w:sz w:val="32"/>
          <w:szCs w:val="32"/>
        </w:rPr>
        <w:t>国家</w:t>
      </w:r>
      <w:r>
        <w:rPr>
          <w:rFonts w:hint="eastAsia" w:ascii="仿宋_GB2312" w:eastAsia="仿宋_GB2312"/>
          <w:sz w:val="32"/>
          <w:szCs w:val="32"/>
        </w:rPr>
        <w:t>法律法规、</w:t>
      </w:r>
      <w:r>
        <w:rPr>
          <w:rFonts w:ascii="仿宋_GB2312" w:eastAsia="仿宋_GB2312"/>
          <w:sz w:val="32"/>
          <w:szCs w:val="32"/>
        </w:rPr>
        <w:t>安全标准</w:t>
      </w:r>
      <w:r>
        <w:rPr>
          <w:rFonts w:hint="eastAsia" w:ascii="仿宋_GB2312" w:eastAsia="仿宋_GB2312"/>
          <w:sz w:val="32"/>
          <w:szCs w:val="32"/>
        </w:rPr>
        <w:t>的基础上，</w:t>
      </w:r>
      <w:r>
        <w:rPr>
          <w:rFonts w:ascii="仿宋_GB2312" w:eastAsia="仿宋_GB2312"/>
          <w:sz w:val="32"/>
          <w:szCs w:val="32"/>
        </w:rPr>
        <w:t>满足</w:t>
      </w:r>
      <w:r>
        <w:rPr>
          <w:rFonts w:hint="eastAsia" w:ascii="仿宋_GB2312" w:eastAsia="仿宋_GB2312"/>
          <w:sz w:val="32"/>
          <w:szCs w:val="32"/>
        </w:rPr>
        <w:t>深圳市场</w:t>
      </w:r>
      <w:r>
        <w:rPr>
          <w:rFonts w:ascii="仿宋_GB2312" w:eastAsia="仿宋_GB2312"/>
          <w:sz w:val="32"/>
          <w:szCs w:val="32"/>
        </w:rPr>
        <w:t>更高要求的</w:t>
      </w:r>
      <w:r>
        <w:rPr>
          <w:rFonts w:hint="eastAsia" w:ascii="仿宋_GB2312" w:eastAsia="仿宋_GB2312"/>
          <w:sz w:val="32"/>
          <w:szCs w:val="32"/>
        </w:rPr>
        <w:t>龙眼分级</w:t>
      </w:r>
      <w:r>
        <w:rPr>
          <w:rFonts w:ascii="仿宋_GB2312" w:eastAsia="仿宋_GB2312"/>
          <w:sz w:val="32"/>
          <w:szCs w:val="32"/>
        </w:rPr>
        <w:t>标准。</w:t>
      </w:r>
    </w:p>
    <w:p w14:paraId="179E6D90">
      <w:pPr>
        <w:numPr>
          <w:ilvl w:val="0"/>
          <w:numId w:val="4"/>
        </w:numPr>
        <w:spacing w:line="360" w:lineRule="auto"/>
        <w:rPr>
          <w:rFonts w:ascii="仿宋_GB2312" w:eastAsia="仿宋_GB2312"/>
          <w:sz w:val="32"/>
          <w:szCs w:val="32"/>
        </w:rPr>
      </w:pPr>
      <w:r>
        <w:rPr>
          <w:rFonts w:hint="eastAsia" w:ascii="仿宋_GB2312" w:eastAsia="仿宋_GB2312"/>
          <w:sz w:val="32"/>
          <w:szCs w:val="32"/>
        </w:rPr>
        <w:t>主要技术内容确定的依据</w:t>
      </w:r>
    </w:p>
    <w:p w14:paraId="1DF4CE0B">
      <w:pPr>
        <w:pStyle w:val="6"/>
        <w:ind w:left="840" w:leftChars="400" w:firstLine="0" w:firstLineChars="0"/>
        <w:rPr>
          <w:rFonts w:ascii="仿宋_GB2312" w:eastAsia="仿宋_GB2312"/>
          <w:sz w:val="32"/>
          <w:szCs w:val="32"/>
        </w:rPr>
      </w:pPr>
      <w:r>
        <w:rPr>
          <w:rFonts w:hint="eastAsia" w:ascii="仿宋_GB2312" w:eastAsia="仿宋_GB2312"/>
          <w:sz w:val="32"/>
          <w:szCs w:val="32"/>
        </w:rPr>
        <w:t>1.技术要求</w:t>
      </w:r>
    </w:p>
    <w:p w14:paraId="08A46F40">
      <w:pPr>
        <w:pStyle w:val="6"/>
        <w:spacing w:after="0"/>
        <w:ind w:left="0" w:leftChars="0" w:firstLine="640"/>
        <w:rPr>
          <w:rFonts w:ascii="仿宋_GB2312" w:eastAsia="仿宋_GB2312"/>
          <w:sz w:val="32"/>
          <w:szCs w:val="32"/>
        </w:rPr>
      </w:pPr>
      <w:r>
        <w:rPr>
          <w:rFonts w:hint="eastAsia" w:ascii="仿宋_GB2312" w:eastAsia="仿宋_GB2312"/>
          <w:sz w:val="32"/>
          <w:szCs w:val="32"/>
        </w:rPr>
        <w:t>对追溯要求、安全要求、外观要求、品质等级要求作出了规定。</w:t>
      </w:r>
    </w:p>
    <w:p w14:paraId="2F3233F2">
      <w:pPr>
        <w:pStyle w:val="6"/>
        <w:numPr>
          <w:ilvl w:val="0"/>
          <w:numId w:val="5"/>
        </w:numPr>
        <w:spacing w:after="0"/>
        <w:ind w:left="0" w:leftChars="0" w:firstLine="640"/>
        <w:rPr>
          <w:rFonts w:ascii="仿宋_GB2312" w:eastAsia="仿宋_GB2312"/>
          <w:sz w:val="32"/>
          <w:szCs w:val="32"/>
        </w:rPr>
      </w:pPr>
      <w:r>
        <w:rPr>
          <w:rFonts w:hint="eastAsia" w:ascii="仿宋_GB2312" w:eastAsia="仿宋_GB2312"/>
          <w:sz w:val="32"/>
          <w:szCs w:val="32"/>
        </w:rPr>
        <w:t>追溯要求：按照《中华人民共和国农产品质量安全法》等法律法规设置农产品承诺达标合格证及追溯相关要求。</w:t>
      </w:r>
    </w:p>
    <w:p w14:paraId="6C37941B">
      <w:pPr>
        <w:pStyle w:val="6"/>
        <w:numPr>
          <w:ilvl w:val="0"/>
          <w:numId w:val="5"/>
        </w:numPr>
        <w:spacing w:after="0"/>
        <w:ind w:left="0" w:leftChars="0" w:firstLine="640"/>
        <w:rPr>
          <w:rFonts w:ascii="仿宋_GB2312" w:eastAsia="仿宋_GB2312"/>
          <w:sz w:val="32"/>
          <w:szCs w:val="32"/>
        </w:rPr>
      </w:pPr>
      <w:r>
        <w:rPr>
          <w:rFonts w:hint="eastAsia" w:ascii="仿宋_GB2312" w:eastAsia="仿宋_GB2312"/>
          <w:sz w:val="32"/>
          <w:szCs w:val="32"/>
        </w:rPr>
        <w:t>安全要求：按照GB 2760《食品安全国家标准食品添加剂使用标准》、GB 2762《食品安全国家标准食品中污染物限量》、GB 2763《食品安全国家标准食品中农药最大残留限量》设置食品添加剂（二氧化硫）、污染物和农药残留等安全指标限值要求。</w:t>
      </w:r>
    </w:p>
    <w:p w14:paraId="1621D003">
      <w:pPr>
        <w:pStyle w:val="6"/>
        <w:numPr>
          <w:ilvl w:val="0"/>
          <w:numId w:val="5"/>
        </w:numPr>
        <w:spacing w:after="0"/>
        <w:ind w:left="0" w:leftChars="0" w:firstLine="640"/>
        <w:rPr>
          <w:rFonts w:ascii="仿宋_GB2312" w:eastAsia="仿宋_GB2312"/>
          <w:sz w:val="32"/>
          <w:szCs w:val="32"/>
        </w:rPr>
      </w:pPr>
      <w:r>
        <w:rPr>
          <w:rFonts w:hint="eastAsia" w:ascii="仿宋_GB2312" w:eastAsia="仿宋_GB2312"/>
          <w:sz w:val="32"/>
          <w:szCs w:val="32"/>
        </w:rPr>
        <w:t>外观要求：参照GB/T 31735《龙眼》、NY/T 516《龙眼》、NY/T 2260《龙眼等级规格》等标准要求设置果形、成熟度、新鲜度、果面缺陷作为外观指标限值要求。</w:t>
      </w:r>
    </w:p>
    <w:p w14:paraId="748D034E">
      <w:pPr>
        <w:pStyle w:val="6"/>
        <w:numPr>
          <w:ilvl w:val="0"/>
          <w:numId w:val="5"/>
        </w:numPr>
        <w:spacing w:after="0"/>
        <w:ind w:left="0" w:leftChars="0" w:firstLine="640"/>
        <w:rPr>
          <w:rFonts w:ascii="仿宋_GB2312" w:eastAsia="仿宋_GB2312"/>
          <w:sz w:val="32"/>
          <w:szCs w:val="32"/>
        </w:rPr>
      </w:pPr>
      <w:r>
        <w:rPr>
          <w:rFonts w:hint="eastAsia" w:ascii="仿宋_GB2312" w:eastAsia="仿宋_GB2312"/>
          <w:sz w:val="32"/>
          <w:szCs w:val="32"/>
        </w:rPr>
        <w:t>品质等级要求：参照GB/T 31735《龙眼》、NY/T 516《龙眼》、T/GDNB 222《储良龙眼鲜果质量分级》、T/ZSGTS 007《香山之品 中山脆肉龙眼》等标准要求设置可食率、果实横径、可溶性固形物、总酸（以苹果酸计）、总糖含量作为品质指标限值要求。</w:t>
      </w:r>
    </w:p>
    <w:p w14:paraId="2B1766A8">
      <w:pPr>
        <w:pStyle w:val="6"/>
        <w:spacing w:after="0"/>
        <w:ind w:left="640" w:leftChars="0" w:firstLine="0" w:firstLineChars="0"/>
        <w:rPr>
          <w:rFonts w:ascii="仿宋_GB2312" w:eastAsia="仿宋_GB2312"/>
          <w:sz w:val="32"/>
          <w:szCs w:val="32"/>
        </w:rPr>
      </w:pPr>
      <w:r>
        <w:rPr>
          <w:rFonts w:hint="eastAsia" w:ascii="仿宋_GB2312" w:eastAsia="仿宋_GB2312"/>
          <w:sz w:val="32"/>
          <w:szCs w:val="32"/>
        </w:rPr>
        <w:t>2.数据分析及确认</w:t>
      </w:r>
    </w:p>
    <w:p w14:paraId="447E300E">
      <w:pPr>
        <w:pStyle w:val="6"/>
        <w:spacing w:after="0"/>
        <w:ind w:left="640" w:leftChars="0" w:firstLine="0" w:firstLineChars="0"/>
        <w:rPr>
          <w:rFonts w:ascii="仿宋_GB2312" w:eastAsia="仿宋_GB2312"/>
          <w:sz w:val="32"/>
          <w:szCs w:val="32"/>
        </w:rPr>
      </w:pPr>
      <w:r>
        <w:rPr>
          <w:rFonts w:hint="eastAsia" w:ascii="仿宋_GB2312" w:eastAsia="仿宋_GB2312"/>
          <w:sz w:val="32"/>
          <w:szCs w:val="32"/>
        </w:rPr>
        <w:t>2.1标准查询</w:t>
      </w:r>
    </w:p>
    <w:p w14:paraId="3FEDAEE0">
      <w:pPr>
        <w:pStyle w:val="6"/>
        <w:spacing w:after="0"/>
        <w:ind w:left="0" w:leftChars="0" w:firstLine="640"/>
        <w:rPr>
          <w:rFonts w:ascii="仿宋_GB2312" w:eastAsia="仿宋_GB2312"/>
          <w:sz w:val="32"/>
          <w:szCs w:val="32"/>
        </w:rPr>
      </w:pPr>
      <w:r>
        <w:rPr>
          <w:rFonts w:hint="eastAsia" w:ascii="仿宋_GB2312" w:eastAsia="仿宋_GB2312"/>
          <w:sz w:val="32"/>
          <w:szCs w:val="32"/>
        </w:rPr>
        <w:t>经统计，</w:t>
      </w:r>
      <w:r>
        <w:rPr>
          <w:rFonts w:ascii="仿宋_GB2312" w:eastAsia="仿宋_GB2312"/>
          <w:sz w:val="32"/>
          <w:szCs w:val="32"/>
        </w:rPr>
        <w:t>目前我国现行有效的</w:t>
      </w:r>
      <w:r>
        <w:rPr>
          <w:rFonts w:hint="eastAsia" w:ascii="仿宋_GB2312" w:eastAsia="仿宋_GB2312"/>
          <w:sz w:val="32"/>
          <w:szCs w:val="32"/>
        </w:rPr>
        <w:t>龙眼</w:t>
      </w:r>
      <w:r>
        <w:rPr>
          <w:rFonts w:ascii="仿宋_GB2312" w:eastAsia="仿宋_GB2312"/>
          <w:sz w:val="32"/>
          <w:szCs w:val="32"/>
        </w:rPr>
        <w:t>产品标准</w:t>
      </w:r>
      <w:r>
        <w:rPr>
          <w:rFonts w:hint="eastAsia" w:ascii="仿宋_GB2312" w:eastAsia="仿宋_GB2312"/>
          <w:sz w:val="32"/>
          <w:szCs w:val="32"/>
        </w:rPr>
        <w:t>对可食率、果实横径、可溶性固形物、总酸（以苹果酸计）、总糖含量</w:t>
      </w:r>
      <w:r>
        <w:rPr>
          <w:rFonts w:ascii="仿宋_GB2312" w:eastAsia="仿宋_GB2312"/>
          <w:sz w:val="32"/>
          <w:szCs w:val="32"/>
        </w:rPr>
        <w:t>指标的</w:t>
      </w:r>
      <w:r>
        <w:rPr>
          <w:rFonts w:hint="eastAsia" w:ascii="仿宋_GB2312" w:eastAsia="仿宋_GB2312"/>
          <w:sz w:val="32"/>
          <w:szCs w:val="32"/>
        </w:rPr>
        <w:t>限值要求主要如下：</w:t>
      </w:r>
    </w:p>
    <w:p w14:paraId="2F25E525">
      <w:pPr>
        <w:pStyle w:val="6"/>
        <w:spacing w:after="0"/>
        <w:ind w:left="0" w:leftChars="0" w:firstLine="0" w:firstLineChars="0"/>
        <w:rPr>
          <w:rFonts w:ascii="仿宋_GB2312" w:eastAsia="仿宋_GB2312"/>
          <w:sz w:val="32"/>
          <w:szCs w:val="32"/>
        </w:rPr>
      </w:pPr>
      <w:r>
        <w:rPr>
          <w:rFonts w:hint="eastAsia" w:ascii="仿宋_GB2312" w:eastAsia="仿宋_GB2312"/>
          <w:sz w:val="32"/>
          <w:szCs w:val="32"/>
        </w:rPr>
        <w:t>GB/T 31735《龙眼》</w:t>
      </w:r>
    </w:p>
    <w:p w14:paraId="4B7EB693">
      <w:pPr>
        <w:pStyle w:val="6"/>
        <w:spacing w:after="0"/>
        <w:ind w:left="0" w:leftChars="0" w:firstLine="0" w:firstLineChars="0"/>
        <w:jc w:val="center"/>
        <w:rPr>
          <w:rFonts w:ascii="仿宋_GB2312" w:eastAsia="仿宋_GB2312"/>
          <w:sz w:val="32"/>
          <w:szCs w:val="32"/>
        </w:rPr>
      </w:pPr>
      <w:r>
        <w:drawing>
          <wp:inline distT="0" distB="0" distL="114300" distR="114300">
            <wp:extent cx="4587875" cy="1090930"/>
            <wp:effectExtent l="0" t="0" r="317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4591547" cy="1091822"/>
                    </a:xfrm>
                    <a:prstGeom prst="rect">
                      <a:avLst/>
                    </a:prstGeom>
                    <a:noFill/>
                    <a:ln>
                      <a:noFill/>
                    </a:ln>
                  </pic:spPr>
                </pic:pic>
              </a:graphicData>
            </a:graphic>
          </wp:inline>
        </w:drawing>
      </w:r>
    </w:p>
    <w:p w14:paraId="10C7B2E2">
      <w:pPr>
        <w:pStyle w:val="6"/>
        <w:spacing w:after="156" w:afterLines="50"/>
        <w:ind w:left="0" w:leftChars="0" w:firstLine="0" w:firstLineChars="0"/>
        <w:jc w:val="center"/>
        <w:rPr>
          <w:rFonts w:ascii="仿宋_GB2312" w:eastAsia="仿宋_GB2312"/>
          <w:sz w:val="32"/>
          <w:szCs w:val="32"/>
        </w:rPr>
      </w:pPr>
      <w:r>
        <w:drawing>
          <wp:inline distT="0" distB="0" distL="114300" distR="114300">
            <wp:extent cx="4627245" cy="2721610"/>
            <wp:effectExtent l="0" t="0" r="190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4626035" cy="2720771"/>
                    </a:xfrm>
                    <a:prstGeom prst="rect">
                      <a:avLst/>
                    </a:prstGeom>
                    <a:noFill/>
                    <a:ln>
                      <a:noFill/>
                    </a:ln>
                  </pic:spPr>
                </pic:pic>
              </a:graphicData>
            </a:graphic>
          </wp:inline>
        </w:drawing>
      </w:r>
    </w:p>
    <w:p w14:paraId="07C81A7C">
      <w:pPr>
        <w:pStyle w:val="6"/>
        <w:spacing w:before="156" w:beforeLines="50" w:after="156" w:afterLines="50"/>
        <w:ind w:left="0" w:leftChars="0" w:firstLine="0" w:firstLineChars="0"/>
        <w:jc w:val="left"/>
        <w:rPr>
          <w:rFonts w:ascii="仿宋_GB2312" w:eastAsia="仿宋_GB2312"/>
          <w:sz w:val="32"/>
          <w:szCs w:val="32"/>
        </w:rPr>
      </w:pPr>
      <w:r>
        <w:rPr>
          <w:rFonts w:ascii="仿宋_GB2312" w:eastAsia="仿宋_GB2312"/>
          <w:sz w:val="32"/>
          <w:szCs w:val="32"/>
        </w:rPr>
        <w:t>NY/T 516《龙眼》</w:t>
      </w:r>
    </w:p>
    <w:p w14:paraId="3EB70141">
      <w:pPr>
        <w:pStyle w:val="6"/>
        <w:spacing w:before="156" w:beforeLines="50" w:after="156" w:afterLines="50"/>
        <w:ind w:left="0" w:leftChars="0" w:firstLine="0" w:firstLineChars="0"/>
        <w:jc w:val="center"/>
        <w:rPr>
          <w:rFonts w:ascii="仿宋_GB2312" w:eastAsia="仿宋_GB2312"/>
          <w:sz w:val="32"/>
          <w:szCs w:val="32"/>
        </w:rPr>
      </w:pPr>
      <w:r>
        <w:drawing>
          <wp:inline distT="0" distB="0" distL="0" distR="0">
            <wp:extent cx="4650105" cy="32753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669727" cy="3289347"/>
                    </a:xfrm>
                    <a:prstGeom prst="rect">
                      <a:avLst/>
                    </a:prstGeom>
                  </pic:spPr>
                </pic:pic>
              </a:graphicData>
            </a:graphic>
          </wp:inline>
        </w:drawing>
      </w:r>
    </w:p>
    <w:p w14:paraId="7E84E974">
      <w:pPr>
        <w:pStyle w:val="6"/>
        <w:spacing w:after="156" w:afterLines="50"/>
        <w:ind w:left="0" w:leftChars="0" w:firstLine="0" w:firstLineChars="0"/>
        <w:rPr>
          <w:rFonts w:ascii="仿宋_GB2312" w:eastAsia="仿宋_GB2312"/>
          <w:sz w:val="32"/>
          <w:szCs w:val="32"/>
        </w:rPr>
      </w:pPr>
      <w:r>
        <w:rPr>
          <w:rFonts w:hint="eastAsia" w:ascii="仿宋_GB2312" w:eastAsia="仿宋_GB2312"/>
          <w:sz w:val="32"/>
          <w:szCs w:val="32"/>
        </w:rPr>
        <w:t>T/GDNB 222《储良龙眼鲜果质量分级》</w:t>
      </w:r>
    </w:p>
    <w:p w14:paraId="0FFB8FEB">
      <w:pPr>
        <w:pStyle w:val="6"/>
        <w:spacing w:after="156" w:afterLines="50"/>
        <w:ind w:left="0" w:leftChars="0" w:firstLine="0" w:firstLineChars="0"/>
      </w:pPr>
      <w:r>
        <w:drawing>
          <wp:inline distT="0" distB="0" distL="0" distR="0">
            <wp:extent cx="5274310" cy="3194050"/>
            <wp:effectExtent l="0" t="0" r="254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a:stretch>
                      <a:fillRect/>
                    </a:stretch>
                  </pic:blipFill>
                  <pic:spPr>
                    <a:xfrm>
                      <a:off x="0" y="0"/>
                      <a:ext cx="5274310" cy="3194498"/>
                    </a:xfrm>
                    <a:prstGeom prst="rect">
                      <a:avLst/>
                    </a:prstGeom>
                  </pic:spPr>
                </pic:pic>
              </a:graphicData>
            </a:graphic>
          </wp:inline>
        </w:drawing>
      </w:r>
    </w:p>
    <w:p w14:paraId="15325597">
      <w:pPr>
        <w:pStyle w:val="6"/>
        <w:spacing w:after="156" w:afterLines="50"/>
        <w:ind w:left="0" w:leftChars="0" w:firstLine="0" w:firstLineChars="0"/>
        <w:rPr>
          <w:rFonts w:ascii="仿宋_GB2312" w:eastAsia="仿宋_GB2312"/>
          <w:sz w:val="32"/>
          <w:szCs w:val="32"/>
        </w:rPr>
      </w:pPr>
      <w:r>
        <w:drawing>
          <wp:inline distT="0" distB="0" distL="0" distR="0">
            <wp:extent cx="5274310" cy="2517775"/>
            <wp:effectExtent l="0" t="0" r="2540" b="158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274310" cy="2518117"/>
                    </a:xfrm>
                    <a:prstGeom prst="rect">
                      <a:avLst/>
                    </a:prstGeom>
                  </pic:spPr>
                </pic:pic>
              </a:graphicData>
            </a:graphic>
          </wp:inline>
        </w:drawing>
      </w:r>
    </w:p>
    <w:p w14:paraId="584F7021">
      <w:pPr>
        <w:pStyle w:val="6"/>
        <w:spacing w:after="156" w:afterLines="50"/>
        <w:ind w:left="0" w:leftChars="0" w:firstLine="0" w:firstLineChars="0"/>
        <w:rPr>
          <w:rFonts w:ascii="仿宋_GB2312" w:eastAsia="仿宋_GB2312"/>
          <w:sz w:val="32"/>
          <w:szCs w:val="32"/>
        </w:rPr>
      </w:pPr>
      <w:r>
        <w:rPr>
          <w:rFonts w:ascii="仿宋_GB2312" w:eastAsia="仿宋_GB2312"/>
          <w:sz w:val="32"/>
          <w:szCs w:val="32"/>
        </w:rPr>
        <w:t>DB4409/T 54-2024</w:t>
      </w:r>
      <w:r>
        <w:rPr>
          <w:rFonts w:hint="eastAsia" w:ascii="仿宋_GB2312" w:eastAsia="仿宋_GB2312"/>
          <w:sz w:val="32"/>
          <w:szCs w:val="32"/>
        </w:rPr>
        <w:t>《地理标志产品 茂名储良龙眼》</w:t>
      </w:r>
    </w:p>
    <w:p w14:paraId="7B491402">
      <w:pPr>
        <w:pStyle w:val="6"/>
        <w:spacing w:after="156" w:afterLines="50"/>
        <w:ind w:left="0" w:leftChars="0" w:firstLine="0" w:firstLineChars="0"/>
        <w:jc w:val="center"/>
        <w:rPr>
          <w:rFonts w:ascii="仿宋_GB2312" w:eastAsia="仿宋_GB2312"/>
          <w:sz w:val="32"/>
          <w:szCs w:val="32"/>
        </w:rPr>
      </w:pPr>
      <w:r>
        <w:drawing>
          <wp:inline distT="0" distB="0" distL="114300" distR="114300">
            <wp:extent cx="4808220" cy="1656080"/>
            <wp:effectExtent l="0" t="0" r="1143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4808220" cy="1656080"/>
                    </a:xfrm>
                    <a:prstGeom prst="rect">
                      <a:avLst/>
                    </a:prstGeom>
                    <a:noFill/>
                    <a:ln>
                      <a:noFill/>
                    </a:ln>
                  </pic:spPr>
                </pic:pic>
              </a:graphicData>
            </a:graphic>
          </wp:inline>
        </w:drawing>
      </w:r>
    </w:p>
    <w:p w14:paraId="7DB27F13">
      <w:pPr>
        <w:pStyle w:val="6"/>
        <w:spacing w:after="156" w:afterLines="50"/>
        <w:ind w:left="0" w:leftChars="0" w:firstLine="0" w:firstLineChars="0"/>
        <w:rPr>
          <w:rFonts w:ascii="仿宋_GB2312" w:eastAsia="仿宋_GB2312"/>
          <w:sz w:val="32"/>
          <w:szCs w:val="32"/>
        </w:rPr>
      </w:pPr>
      <w:r>
        <w:drawing>
          <wp:inline distT="0" distB="0" distL="114300" distR="114300">
            <wp:extent cx="5273040" cy="1706245"/>
            <wp:effectExtent l="0" t="0" r="381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5273040" cy="1706245"/>
                    </a:xfrm>
                    <a:prstGeom prst="rect">
                      <a:avLst/>
                    </a:prstGeom>
                    <a:noFill/>
                    <a:ln>
                      <a:noFill/>
                    </a:ln>
                  </pic:spPr>
                </pic:pic>
              </a:graphicData>
            </a:graphic>
          </wp:inline>
        </w:drawing>
      </w:r>
    </w:p>
    <w:p w14:paraId="08DB6856">
      <w:pPr>
        <w:pStyle w:val="6"/>
        <w:spacing w:after="156" w:afterLines="50"/>
        <w:ind w:left="0" w:leftChars="0" w:firstLine="0" w:firstLineChars="0"/>
        <w:rPr>
          <w:rFonts w:ascii="仿宋_GB2312" w:eastAsia="仿宋_GB2312"/>
          <w:sz w:val="32"/>
          <w:szCs w:val="32"/>
        </w:rPr>
      </w:pPr>
      <w:r>
        <w:rPr>
          <w:rFonts w:hint="eastAsia" w:ascii="仿宋_GB2312" w:eastAsia="仿宋_GB2312"/>
          <w:sz w:val="32"/>
          <w:szCs w:val="32"/>
        </w:rPr>
        <w:t>T/ZSGTS 007-2022 《香山之品 中山脆肉龙眼》</w:t>
      </w:r>
    </w:p>
    <w:p w14:paraId="573B5009">
      <w:pPr>
        <w:pStyle w:val="6"/>
        <w:spacing w:after="156" w:afterLines="50"/>
        <w:ind w:left="0" w:leftChars="0" w:firstLine="0" w:firstLineChars="0"/>
        <w:rPr>
          <w:rFonts w:ascii="仿宋_GB2312" w:eastAsia="仿宋_GB2312"/>
          <w:sz w:val="32"/>
          <w:szCs w:val="32"/>
        </w:rPr>
      </w:pPr>
      <w:r>
        <w:drawing>
          <wp:inline distT="0" distB="0" distL="0" distR="0">
            <wp:extent cx="5274310" cy="143383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74310" cy="1433953"/>
                    </a:xfrm>
                    <a:prstGeom prst="rect">
                      <a:avLst/>
                    </a:prstGeom>
                  </pic:spPr>
                </pic:pic>
              </a:graphicData>
            </a:graphic>
          </wp:inline>
        </w:drawing>
      </w:r>
    </w:p>
    <w:p w14:paraId="741F9E4B">
      <w:pPr>
        <w:pStyle w:val="6"/>
        <w:spacing w:after="0"/>
        <w:ind w:left="0" w:leftChars="0" w:firstLine="0" w:firstLineChars="0"/>
        <w:rPr>
          <w:rFonts w:ascii="仿宋_GB2312" w:eastAsia="仿宋_GB2312"/>
          <w:sz w:val="32"/>
          <w:szCs w:val="32"/>
        </w:rPr>
      </w:pPr>
      <w:r>
        <w:rPr>
          <w:rFonts w:hint="eastAsia" w:ascii="仿宋_GB2312" w:eastAsia="仿宋_GB2312"/>
          <w:sz w:val="32"/>
          <w:szCs w:val="32"/>
        </w:rPr>
        <w:t>2.2文献及检测数据</w:t>
      </w:r>
    </w:p>
    <w:p w14:paraId="4594BAAE">
      <w:pPr>
        <w:pStyle w:val="6"/>
        <w:spacing w:after="0"/>
        <w:ind w:left="0" w:leftChars="0" w:firstLine="640" w:firstLineChars="0"/>
        <w:rPr>
          <w:rFonts w:ascii="仿宋_GB2312" w:eastAsia="仿宋_GB2312"/>
          <w:sz w:val="32"/>
          <w:szCs w:val="32"/>
        </w:rPr>
      </w:pPr>
      <w:r>
        <w:rPr>
          <w:rFonts w:hint="eastAsia" w:ascii="仿宋_GB2312" w:eastAsia="仿宋_GB2312"/>
          <w:sz w:val="32"/>
          <w:szCs w:val="32"/>
        </w:rPr>
        <w:t>通过对龙眼相关文献数据收集整理，共收集龙眼中可食率、果实横径、可溶性固形物、总酸（以苹果酸计）、总糖含量数据328组；其中可食率最小值为40.70%，最大值为75.17%，平均值为63.10%；果实横径最小值为21.67mm，最大值为32.54mm，平均值为25.90mm；可溶性固形物最小值为10.37%，最大值为25.57%，平均值为19.50%；总酸（以苹果酸计）最小值为0.37g/kg，最大值为1.48g/kg，平均值为0.82g/kg；总糖含量最小值为7.54g/100g，最大值为21.02g/100g，平均值为14.49g/100g。</w:t>
      </w:r>
    </w:p>
    <w:p w14:paraId="1BBEABED">
      <w:pPr>
        <w:spacing w:after="156" w:afterLines="50" w:line="360" w:lineRule="auto"/>
        <w:ind w:firstLine="641"/>
        <w:rPr>
          <w:rFonts w:ascii="仿宋_GB2312" w:eastAsia="仿宋_GB2312"/>
          <w:sz w:val="32"/>
          <w:szCs w:val="32"/>
        </w:rPr>
      </w:pPr>
      <w:r>
        <w:rPr>
          <w:rFonts w:hint="eastAsia" w:ascii="仿宋_GB2312" w:eastAsia="仿宋_GB2312"/>
          <w:sz w:val="32"/>
          <w:szCs w:val="32"/>
        </w:rPr>
        <w:t>综合文献及检测数据分析，结合现行有效的标准要求，龙眼品质指标如下：</w:t>
      </w:r>
    </w:p>
    <w:tbl>
      <w:tblPr>
        <w:tblStyle w:val="7"/>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1746"/>
        <w:gridCol w:w="1746"/>
        <w:gridCol w:w="1747"/>
      </w:tblGrid>
      <w:tr w14:paraId="735C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vMerge w:val="restart"/>
            <w:vAlign w:val="center"/>
          </w:tcPr>
          <w:p w14:paraId="1E038B77">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  目</w:t>
            </w:r>
          </w:p>
        </w:tc>
        <w:tc>
          <w:tcPr>
            <w:tcW w:w="3094" w:type="pct"/>
            <w:gridSpan w:val="3"/>
            <w:vAlign w:val="center"/>
          </w:tcPr>
          <w:p w14:paraId="7F7E3804">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等      级</w:t>
            </w:r>
          </w:p>
        </w:tc>
      </w:tr>
      <w:tr w14:paraId="4854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vMerge w:val="continue"/>
            <w:vAlign w:val="center"/>
          </w:tcPr>
          <w:p w14:paraId="3A755B85">
            <w:pPr>
              <w:adjustRightInd w:val="0"/>
              <w:snapToGrid w:val="0"/>
              <w:jc w:val="left"/>
              <w:rPr>
                <w:rFonts w:asciiTheme="minorEastAsia" w:hAnsiTheme="minorEastAsia" w:eastAsiaTheme="minorEastAsia" w:cstheme="minorEastAsia"/>
                <w:sz w:val="20"/>
                <w:szCs w:val="20"/>
              </w:rPr>
            </w:pPr>
          </w:p>
        </w:tc>
        <w:tc>
          <w:tcPr>
            <w:tcW w:w="1031" w:type="pct"/>
            <w:vAlign w:val="center"/>
          </w:tcPr>
          <w:p w14:paraId="5212D7B8">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A+</w:t>
            </w:r>
          </w:p>
        </w:tc>
        <w:tc>
          <w:tcPr>
            <w:tcW w:w="1031" w:type="pct"/>
            <w:vAlign w:val="center"/>
          </w:tcPr>
          <w:p w14:paraId="112D5727">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A</w:t>
            </w:r>
          </w:p>
        </w:tc>
        <w:tc>
          <w:tcPr>
            <w:tcW w:w="1031" w:type="pct"/>
            <w:vAlign w:val="center"/>
          </w:tcPr>
          <w:p w14:paraId="15BB720F">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B</w:t>
            </w:r>
          </w:p>
        </w:tc>
      </w:tr>
      <w:tr w14:paraId="276E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vAlign w:val="center"/>
          </w:tcPr>
          <w:p w14:paraId="5B4373A8">
            <w:pPr>
              <w:adjustRightInd w:val="0"/>
              <w:snapToGrid w:val="0"/>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可食率（%）       </w:t>
            </w:r>
            <w:r>
              <w:rPr>
                <w:rFonts w:hint="eastAsia" w:asciiTheme="minorEastAsia" w:hAnsiTheme="minorEastAsia" w:cstheme="minorEastAsia"/>
                <w:sz w:val="20"/>
                <w:szCs w:val="20"/>
              </w:rPr>
              <w:t xml:space="preserve">          </w:t>
            </w:r>
            <w:r>
              <w:rPr>
                <w:rFonts w:hint="eastAsia" w:asciiTheme="minorEastAsia" w:hAnsiTheme="minorEastAsia" w:eastAsiaTheme="minorEastAsia" w:cstheme="minorEastAsia"/>
                <w:sz w:val="20"/>
                <w:szCs w:val="20"/>
              </w:rPr>
              <w:t>≥</w:t>
            </w:r>
          </w:p>
        </w:tc>
        <w:tc>
          <w:tcPr>
            <w:tcW w:w="1031" w:type="pct"/>
            <w:vAlign w:val="center"/>
          </w:tcPr>
          <w:p w14:paraId="4FF9E7E2">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74</w:t>
            </w:r>
            <w:r>
              <w:rPr>
                <w:rFonts w:hint="eastAsia" w:asciiTheme="minorEastAsia" w:hAnsiTheme="minorEastAsia" w:eastAsiaTheme="minorEastAsia" w:cstheme="minorEastAsia"/>
                <w:sz w:val="20"/>
                <w:szCs w:val="20"/>
              </w:rPr>
              <w:t>.0</w:t>
            </w:r>
          </w:p>
        </w:tc>
        <w:tc>
          <w:tcPr>
            <w:tcW w:w="1031" w:type="pct"/>
            <w:vAlign w:val="center"/>
          </w:tcPr>
          <w:p w14:paraId="59B1E61B">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70</w:t>
            </w:r>
            <w:r>
              <w:rPr>
                <w:rFonts w:hint="eastAsia" w:asciiTheme="minorEastAsia" w:hAnsiTheme="minorEastAsia" w:eastAsiaTheme="minorEastAsia" w:cstheme="minorEastAsia"/>
                <w:sz w:val="20"/>
                <w:szCs w:val="20"/>
              </w:rPr>
              <w:t>.0</w:t>
            </w:r>
          </w:p>
        </w:tc>
        <w:tc>
          <w:tcPr>
            <w:tcW w:w="1031" w:type="pct"/>
            <w:vAlign w:val="center"/>
          </w:tcPr>
          <w:p w14:paraId="4AB24F31">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rPr>
              <w:t>.0</w:t>
            </w:r>
          </w:p>
        </w:tc>
      </w:tr>
      <w:tr w14:paraId="19C3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vAlign w:val="center"/>
          </w:tcPr>
          <w:p w14:paraId="649FE524">
            <w:pPr>
              <w:adjustRightInd w:val="0"/>
              <w:snapToGrid w:val="0"/>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果实横径(mm) </w:t>
            </w:r>
            <w:r>
              <w:rPr>
                <w:rFonts w:hint="eastAsia" w:asciiTheme="minorEastAsia" w:hAnsiTheme="minorEastAsia" w:cstheme="minorEastAsia"/>
                <w:sz w:val="20"/>
                <w:szCs w:val="20"/>
              </w:rPr>
              <w:t xml:space="preserve">               </w:t>
            </w:r>
            <w:r>
              <w:rPr>
                <w:rFonts w:hint="eastAsia" w:asciiTheme="minorEastAsia" w:hAnsiTheme="minorEastAsia" w:eastAsiaTheme="minorEastAsia" w:cstheme="minorEastAsia"/>
                <w:sz w:val="20"/>
                <w:szCs w:val="20"/>
              </w:rPr>
              <w:t xml:space="preserve">≥      </w:t>
            </w:r>
          </w:p>
        </w:tc>
        <w:tc>
          <w:tcPr>
            <w:tcW w:w="1031" w:type="pct"/>
            <w:vAlign w:val="center"/>
          </w:tcPr>
          <w:p w14:paraId="3C3171F4">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30.0</w:t>
            </w:r>
          </w:p>
        </w:tc>
        <w:tc>
          <w:tcPr>
            <w:tcW w:w="1031" w:type="pct"/>
            <w:vAlign w:val="center"/>
          </w:tcPr>
          <w:p w14:paraId="5BBC841D">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val="en-US" w:eastAsia="zh-CN"/>
              </w:rPr>
              <w:t>7</w:t>
            </w:r>
            <w:r>
              <w:rPr>
                <w:rFonts w:hint="eastAsia" w:asciiTheme="minorEastAsia" w:hAnsiTheme="minorEastAsia" w:eastAsiaTheme="minorEastAsia" w:cstheme="minorEastAsia"/>
                <w:sz w:val="20"/>
                <w:szCs w:val="20"/>
              </w:rPr>
              <w:t>.0</w:t>
            </w:r>
          </w:p>
        </w:tc>
        <w:tc>
          <w:tcPr>
            <w:tcW w:w="1031" w:type="pct"/>
            <w:vAlign w:val="center"/>
          </w:tcPr>
          <w:p w14:paraId="4C09EAEE">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.0</w:t>
            </w:r>
          </w:p>
        </w:tc>
      </w:tr>
      <w:tr w14:paraId="3382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vAlign w:val="center"/>
          </w:tcPr>
          <w:p w14:paraId="65CCAF21">
            <w:pPr>
              <w:adjustRightInd w:val="0"/>
              <w:snapToGrid w:val="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可溶性固形物（%）             ≥</w:t>
            </w:r>
          </w:p>
        </w:tc>
        <w:tc>
          <w:tcPr>
            <w:tcW w:w="1031" w:type="pct"/>
            <w:vAlign w:val="center"/>
          </w:tcPr>
          <w:p w14:paraId="748248E5">
            <w:pPr>
              <w:adjustRightInd w:val="0"/>
              <w:snapToGrid w:val="0"/>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23.0</w:t>
            </w:r>
          </w:p>
        </w:tc>
        <w:tc>
          <w:tcPr>
            <w:tcW w:w="1031" w:type="pct"/>
            <w:vAlign w:val="center"/>
          </w:tcPr>
          <w:p w14:paraId="07F5B856">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.0</w:t>
            </w:r>
          </w:p>
        </w:tc>
        <w:tc>
          <w:tcPr>
            <w:tcW w:w="1031" w:type="pct"/>
            <w:vAlign w:val="center"/>
          </w:tcPr>
          <w:p w14:paraId="179720A5">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18</w:t>
            </w:r>
            <w:r>
              <w:rPr>
                <w:rFonts w:hint="eastAsia" w:asciiTheme="minorEastAsia" w:hAnsiTheme="minorEastAsia" w:eastAsiaTheme="minorEastAsia" w:cstheme="minorEastAsia"/>
                <w:sz w:val="20"/>
                <w:szCs w:val="20"/>
              </w:rPr>
              <w:t>.0</w:t>
            </w:r>
          </w:p>
        </w:tc>
      </w:tr>
      <w:tr w14:paraId="1C21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vAlign w:val="center"/>
          </w:tcPr>
          <w:p w14:paraId="285F7704">
            <w:pPr>
              <w:adjustRightInd w:val="0"/>
              <w:snapToGrid w:val="0"/>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总酸（以苹果酸计）（g/kg）  </w:t>
            </w:r>
            <w:r>
              <w:rPr>
                <w:rFonts w:hint="eastAsia" w:asciiTheme="minorEastAsia" w:hAnsiTheme="minorEastAsia" w:cstheme="minorEastAsia"/>
                <w:sz w:val="20"/>
                <w:szCs w:val="20"/>
              </w:rPr>
              <w:t xml:space="preserve">   </w:t>
            </w:r>
            <w:r>
              <w:rPr>
                <w:rFonts w:hint="eastAsia" w:asciiTheme="minorEastAsia" w:hAnsiTheme="minorEastAsia" w:eastAsiaTheme="minorEastAsia" w:cstheme="minorEastAsia"/>
                <w:sz w:val="20"/>
                <w:szCs w:val="20"/>
              </w:rPr>
              <w:t xml:space="preserve">≤                    </w:t>
            </w:r>
          </w:p>
        </w:tc>
        <w:tc>
          <w:tcPr>
            <w:tcW w:w="1031" w:type="pct"/>
            <w:vAlign w:val="center"/>
          </w:tcPr>
          <w:p w14:paraId="3BD8B0F9">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0.45</w:t>
            </w:r>
          </w:p>
        </w:tc>
        <w:tc>
          <w:tcPr>
            <w:tcW w:w="1031" w:type="pct"/>
            <w:vAlign w:val="center"/>
          </w:tcPr>
          <w:p w14:paraId="66FD0614">
            <w:pPr>
              <w:adjustRightInd w:val="0"/>
              <w:snapToGrid w:val="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0.</w:t>
            </w:r>
            <w:r>
              <w:rPr>
                <w:rFonts w:hint="eastAsia" w:asciiTheme="minorEastAsia" w:hAnsiTheme="minorEastAsia" w:eastAsiaTheme="minorEastAsia" w:cstheme="minorEastAsia"/>
                <w:sz w:val="20"/>
                <w:szCs w:val="20"/>
                <w:lang w:val="en-US" w:eastAsia="zh-CN"/>
              </w:rPr>
              <w:t>65</w:t>
            </w:r>
          </w:p>
        </w:tc>
        <w:tc>
          <w:tcPr>
            <w:tcW w:w="1031" w:type="pct"/>
            <w:vAlign w:val="center"/>
          </w:tcPr>
          <w:p w14:paraId="43B7492D">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r>
              <w:rPr>
                <w:rFonts w:hint="eastAsia" w:asciiTheme="minorEastAsia" w:hAnsiTheme="minorEastAsia" w:eastAsiaTheme="minorEastAsia" w:cstheme="minorEastAsia"/>
                <w:sz w:val="20"/>
                <w:szCs w:val="20"/>
                <w:lang w:val="en-US" w:eastAsia="zh-CN"/>
              </w:rPr>
              <w:t>8</w:t>
            </w:r>
            <w:r>
              <w:rPr>
                <w:rFonts w:hint="eastAsia" w:asciiTheme="minorEastAsia" w:hAnsiTheme="minorEastAsia" w:eastAsiaTheme="minorEastAsia" w:cstheme="minorEastAsia"/>
                <w:sz w:val="20"/>
                <w:szCs w:val="20"/>
              </w:rPr>
              <w:t>5</w:t>
            </w:r>
          </w:p>
        </w:tc>
      </w:tr>
      <w:tr w14:paraId="30FF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vAlign w:val="center"/>
          </w:tcPr>
          <w:p w14:paraId="542FB473">
            <w:pPr>
              <w:tabs>
                <w:tab w:val="left" w:pos="630"/>
              </w:tabs>
              <w:adjustRightInd w:val="0"/>
              <w:snapToGrid w:val="0"/>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总糖含量（g/100g）   </w:t>
            </w:r>
            <w:r>
              <w:rPr>
                <w:rFonts w:hint="eastAsia" w:asciiTheme="minorEastAsia" w:hAnsiTheme="minorEastAsia" w:cstheme="minorEastAsia"/>
                <w:sz w:val="20"/>
                <w:szCs w:val="20"/>
              </w:rPr>
              <w:t xml:space="preserve">       </w:t>
            </w:r>
            <w:r>
              <w:rPr>
                <w:rFonts w:hint="eastAsia" w:asciiTheme="minorEastAsia" w:hAnsiTheme="minorEastAsia" w:eastAsiaTheme="minorEastAsia" w:cstheme="minorEastAsia"/>
                <w:sz w:val="20"/>
                <w:szCs w:val="20"/>
              </w:rPr>
              <w:t>≥</w:t>
            </w:r>
          </w:p>
        </w:tc>
        <w:tc>
          <w:tcPr>
            <w:tcW w:w="1031" w:type="pct"/>
            <w:vAlign w:val="center"/>
          </w:tcPr>
          <w:p w14:paraId="3B9D045F">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rPr>
              <w:t>.0</w:t>
            </w:r>
          </w:p>
        </w:tc>
        <w:tc>
          <w:tcPr>
            <w:tcW w:w="1031" w:type="pct"/>
            <w:vAlign w:val="center"/>
          </w:tcPr>
          <w:p w14:paraId="306B13DA">
            <w:pPr>
              <w:adjustRightInd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.0</w:t>
            </w:r>
          </w:p>
        </w:tc>
        <w:tc>
          <w:tcPr>
            <w:tcW w:w="1031" w:type="pct"/>
            <w:vAlign w:val="center"/>
          </w:tcPr>
          <w:p w14:paraId="7680D64A">
            <w:pPr>
              <w:adjustRightInd w:val="0"/>
              <w:snapToGrid w:val="0"/>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w:t>
            </w:r>
          </w:p>
        </w:tc>
      </w:tr>
    </w:tbl>
    <w:p w14:paraId="0C87D677">
      <w:pPr>
        <w:spacing w:before="156" w:beforeLines="50" w:line="360" w:lineRule="auto"/>
        <w:rPr>
          <w:rFonts w:ascii="黑体" w:hAnsi="黑体" w:eastAsia="黑体" w:cs="黑体"/>
          <w:sz w:val="32"/>
          <w:szCs w:val="32"/>
        </w:rPr>
      </w:pPr>
      <w:r>
        <w:rPr>
          <w:rFonts w:hint="eastAsia" w:ascii="黑体" w:hAnsi="黑体" w:eastAsia="黑体" w:cs="黑体"/>
          <w:sz w:val="32"/>
          <w:szCs w:val="32"/>
        </w:rPr>
        <w:t>四、标准可能带来的经济和社会影响评估</w:t>
      </w:r>
    </w:p>
    <w:p w14:paraId="2D1C8CCF">
      <w:pPr>
        <w:spacing w:line="360" w:lineRule="auto"/>
        <w:ind w:firstLine="640" w:firstLineChars="200"/>
        <w:rPr>
          <w:rFonts w:ascii="仿宋_GB2312" w:eastAsia="仿宋_GB2312"/>
          <w:sz w:val="32"/>
          <w:szCs w:val="32"/>
        </w:rPr>
      </w:pPr>
      <w:r>
        <w:rPr>
          <w:rFonts w:hint="eastAsia" w:ascii="仿宋_GB2312" w:eastAsia="仿宋_GB2312"/>
          <w:sz w:val="32"/>
          <w:szCs w:val="32"/>
        </w:rPr>
        <w:t>通过本标准的发布及在深圳农产品质量提升联盟内应用，将有效推动深圳市高品质储良龙眼产品的发展，对开展深圳市农产品监管监测、农产品生产经营等具有积极的指导作用。</w:t>
      </w:r>
    </w:p>
    <w:p w14:paraId="01C26F6F">
      <w:pPr>
        <w:spacing w:line="360" w:lineRule="auto"/>
        <w:rPr>
          <w:rFonts w:ascii="黑体" w:hAnsi="黑体" w:eastAsia="黑体" w:cs="黑体"/>
          <w:sz w:val="32"/>
          <w:szCs w:val="32"/>
        </w:rPr>
      </w:pPr>
      <w:r>
        <w:rPr>
          <w:rFonts w:hint="eastAsia" w:ascii="黑体" w:hAnsi="黑体" w:eastAsia="黑体" w:cs="黑体"/>
          <w:sz w:val="32"/>
          <w:szCs w:val="32"/>
        </w:rPr>
        <w:t>五、团体标准先进性说明</w:t>
      </w:r>
    </w:p>
    <w:p w14:paraId="5CEF2468">
      <w:pPr>
        <w:spacing w:line="360" w:lineRule="auto"/>
        <w:ind w:firstLine="640"/>
        <w:rPr>
          <w:rFonts w:ascii="仿宋_GB2312" w:eastAsia="仿宋_GB2312"/>
          <w:sz w:val="32"/>
          <w:szCs w:val="32"/>
        </w:rPr>
      </w:pPr>
      <w:r>
        <w:rPr>
          <w:rFonts w:hint="eastAsia" w:ascii="仿宋_GB2312" w:eastAsia="仿宋_GB2312"/>
          <w:sz w:val="32"/>
          <w:szCs w:val="32"/>
        </w:rPr>
        <w:t>本标准在制定过程中，充分考虑了国内龙眼产业现状和行业发展的市场需求，与现有标准相比，能够更好地满足市场和消费者的实际需求，在内容上达到国内先进水平。</w:t>
      </w:r>
    </w:p>
    <w:p w14:paraId="6C8B7498">
      <w:pPr>
        <w:spacing w:line="360" w:lineRule="auto"/>
        <w:rPr>
          <w:rFonts w:ascii="黑体" w:hAnsi="黑体" w:eastAsia="黑体" w:cs="黑体"/>
          <w:sz w:val="32"/>
          <w:szCs w:val="32"/>
        </w:rPr>
      </w:pPr>
      <w:r>
        <w:rPr>
          <w:rFonts w:hint="eastAsia" w:ascii="黑体" w:hAnsi="黑体" w:eastAsia="黑体" w:cs="黑体"/>
          <w:sz w:val="32"/>
          <w:szCs w:val="32"/>
        </w:rPr>
        <w:t>六、征求意见的采纳情况</w:t>
      </w:r>
    </w:p>
    <w:p w14:paraId="59B44430">
      <w:pPr>
        <w:spacing w:after="156" w:afterLines="50" w:line="360" w:lineRule="auto"/>
        <w:ind w:firstLine="640" w:firstLineChars="200"/>
        <w:rPr>
          <w:rFonts w:ascii="仿宋_GB2312" w:eastAsia="仿宋_GB2312"/>
          <w:sz w:val="32"/>
          <w:szCs w:val="32"/>
        </w:rPr>
      </w:pPr>
      <w:r>
        <w:rPr>
          <w:rFonts w:hint="eastAsia" w:ascii="仿宋_GB2312" w:eastAsia="仿宋_GB2312"/>
          <w:sz w:val="32"/>
          <w:szCs w:val="32"/>
        </w:rPr>
        <w:t>标准征求意见稿于 年 月至 月在深圳市农业产业化龙头企业协会及全国团体标准信息平台公开征求意见，期间共收集意见反馈 条，采纳 条。</w:t>
      </w:r>
    </w:p>
    <w:tbl>
      <w:tblPr>
        <w:tblStyle w:val="7"/>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50"/>
        <w:gridCol w:w="2351"/>
        <w:gridCol w:w="1506"/>
        <w:gridCol w:w="1243"/>
        <w:gridCol w:w="1577"/>
      </w:tblGrid>
      <w:tr w14:paraId="0D44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678" w:type="dxa"/>
            <w:tcBorders>
              <w:top w:val="single" w:color="auto" w:sz="4" w:space="0"/>
              <w:left w:val="single" w:color="auto" w:sz="4" w:space="0"/>
              <w:bottom w:val="single" w:color="auto" w:sz="4" w:space="0"/>
              <w:right w:val="single" w:color="auto" w:sz="4" w:space="0"/>
            </w:tcBorders>
            <w:vAlign w:val="center"/>
          </w:tcPr>
          <w:p w14:paraId="2CB120C7">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050" w:type="dxa"/>
            <w:tcBorders>
              <w:top w:val="single" w:color="auto" w:sz="4" w:space="0"/>
              <w:left w:val="single" w:color="auto" w:sz="4" w:space="0"/>
              <w:bottom w:val="single" w:color="auto" w:sz="4" w:space="0"/>
              <w:right w:val="single" w:color="auto" w:sz="4" w:space="0"/>
            </w:tcBorders>
            <w:vAlign w:val="center"/>
          </w:tcPr>
          <w:p w14:paraId="446A4105">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章条 编号</w:t>
            </w:r>
          </w:p>
        </w:tc>
        <w:tc>
          <w:tcPr>
            <w:tcW w:w="2351" w:type="dxa"/>
            <w:tcBorders>
              <w:top w:val="single" w:color="auto" w:sz="4" w:space="0"/>
              <w:left w:val="single" w:color="auto" w:sz="4" w:space="0"/>
              <w:bottom w:val="single" w:color="auto" w:sz="4" w:space="0"/>
              <w:right w:val="single" w:color="auto" w:sz="4" w:space="0"/>
            </w:tcBorders>
            <w:vAlign w:val="center"/>
          </w:tcPr>
          <w:p w14:paraId="2FDD1DED">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意见内容</w:t>
            </w:r>
          </w:p>
        </w:tc>
        <w:tc>
          <w:tcPr>
            <w:tcW w:w="1506" w:type="dxa"/>
            <w:tcBorders>
              <w:top w:val="single" w:color="auto" w:sz="4" w:space="0"/>
              <w:left w:val="single" w:color="auto" w:sz="4" w:space="0"/>
              <w:bottom w:val="single" w:color="auto" w:sz="4" w:space="0"/>
              <w:right w:val="single" w:color="auto" w:sz="4" w:space="0"/>
            </w:tcBorders>
            <w:vAlign w:val="center"/>
          </w:tcPr>
          <w:p w14:paraId="5A96449B">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提出单位</w:t>
            </w:r>
          </w:p>
          <w:p w14:paraId="0B4FE865">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(写全称)</w:t>
            </w:r>
          </w:p>
        </w:tc>
        <w:tc>
          <w:tcPr>
            <w:tcW w:w="1243" w:type="dxa"/>
            <w:tcBorders>
              <w:top w:val="single" w:color="auto" w:sz="4" w:space="0"/>
              <w:left w:val="single" w:color="auto" w:sz="4" w:space="0"/>
              <w:bottom w:val="single" w:color="auto" w:sz="4" w:space="0"/>
              <w:right w:val="single" w:color="auto" w:sz="4" w:space="0"/>
            </w:tcBorders>
            <w:vAlign w:val="center"/>
          </w:tcPr>
          <w:p w14:paraId="07C1C26A">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w:t>
            </w:r>
          </w:p>
        </w:tc>
        <w:tc>
          <w:tcPr>
            <w:tcW w:w="1577" w:type="dxa"/>
            <w:tcBorders>
              <w:top w:val="single" w:color="auto" w:sz="4" w:space="0"/>
              <w:left w:val="single" w:color="auto" w:sz="4" w:space="0"/>
              <w:bottom w:val="single" w:color="auto" w:sz="4" w:space="0"/>
              <w:right w:val="single" w:color="auto" w:sz="4" w:space="0"/>
            </w:tcBorders>
            <w:vAlign w:val="center"/>
          </w:tcPr>
          <w:p w14:paraId="1580502C">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14:paraId="0C56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678" w:type="dxa"/>
            <w:tcBorders>
              <w:top w:val="single" w:color="auto" w:sz="4" w:space="0"/>
              <w:left w:val="single" w:color="auto" w:sz="4" w:space="0"/>
              <w:bottom w:val="single" w:color="auto" w:sz="4" w:space="0"/>
              <w:right w:val="single" w:color="auto" w:sz="4" w:space="0"/>
            </w:tcBorders>
            <w:vAlign w:val="center"/>
          </w:tcPr>
          <w:p w14:paraId="037EB047">
            <w:pPr>
              <w:spacing w:line="360" w:lineRule="auto"/>
              <w:jc w:val="center"/>
              <w:rPr>
                <w:rFonts w:ascii="仿宋_GB2312" w:hAnsi="仿宋_GB2312" w:eastAsia="仿宋_GB2312" w:cs="仿宋_GB2312"/>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B468BA6">
            <w:pPr>
              <w:spacing w:line="360" w:lineRule="auto"/>
              <w:jc w:val="center"/>
              <w:rPr>
                <w:rFonts w:ascii="仿宋_GB2312" w:hAnsi="仿宋_GB2312" w:eastAsia="仿宋_GB2312" w:cs="仿宋_GB2312"/>
                <w:sz w:val="24"/>
              </w:rPr>
            </w:pPr>
          </w:p>
        </w:tc>
        <w:tc>
          <w:tcPr>
            <w:tcW w:w="2351" w:type="dxa"/>
            <w:tcBorders>
              <w:top w:val="single" w:color="auto" w:sz="4" w:space="0"/>
              <w:left w:val="single" w:color="auto" w:sz="4" w:space="0"/>
              <w:bottom w:val="single" w:color="auto" w:sz="4" w:space="0"/>
              <w:right w:val="single" w:color="auto" w:sz="4" w:space="0"/>
            </w:tcBorders>
            <w:vAlign w:val="center"/>
          </w:tcPr>
          <w:p w14:paraId="35E9DD24">
            <w:pPr>
              <w:spacing w:line="360" w:lineRule="auto"/>
              <w:rPr>
                <w:rFonts w:ascii="仿宋_GB2312" w:hAnsi="仿宋_GB2312" w:eastAsia="仿宋_GB2312" w:cs="仿宋_GB2312"/>
                <w:sz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64E1ADB4">
            <w:pPr>
              <w:spacing w:line="360" w:lineRule="auto"/>
              <w:jc w:val="both"/>
              <w:rPr>
                <w:rFonts w:ascii="仿宋_GB2312" w:hAnsi="仿宋_GB2312" w:eastAsia="仿宋_GB2312" w:cs="仿宋_GB2312"/>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30E911AD">
            <w:pPr>
              <w:spacing w:line="360" w:lineRule="auto"/>
              <w:jc w:val="center"/>
              <w:rPr>
                <w:rFonts w:ascii="仿宋_GB2312" w:hAnsi="仿宋_GB2312" w:eastAsia="仿宋_GB2312" w:cs="仿宋_GB2312"/>
                <w:sz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27F033C7">
            <w:pPr>
              <w:spacing w:line="360" w:lineRule="auto"/>
              <w:rPr>
                <w:rFonts w:ascii="仿宋_GB2312" w:hAnsi="仿宋_GB2312" w:eastAsia="仿宋_GB2312" w:cs="仿宋_GB2312"/>
                <w:sz w:val="24"/>
              </w:rPr>
            </w:pPr>
          </w:p>
        </w:tc>
      </w:tr>
    </w:tbl>
    <w:p w14:paraId="743A6ACC">
      <w:pPr>
        <w:spacing w:before="156" w:beforeLines="50" w:line="360" w:lineRule="auto"/>
        <w:rPr>
          <w:rFonts w:ascii="黑体" w:hAnsi="黑体" w:eastAsia="黑体" w:cs="黑体"/>
          <w:sz w:val="32"/>
          <w:szCs w:val="32"/>
        </w:rPr>
      </w:pPr>
      <w:r>
        <w:rPr>
          <w:rFonts w:hint="eastAsia" w:ascii="黑体" w:hAnsi="黑体" w:eastAsia="黑体" w:cs="黑体"/>
          <w:sz w:val="32"/>
          <w:szCs w:val="32"/>
        </w:rPr>
        <w:t>七、其它应予说明的事项</w:t>
      </w:r>
    </w:p>
    <w:p w14:paraId="38D14066">
      <w:pPr>
        <w:tabs>
          <w:tab w:val="left" w:pos="2373"/>
        </w:tabs>
        <w:ind w:firstLine="640" w:firstLineChars="200"/>
        <w:jc w:val="both"/>
      </w:pPr>
      <w:r>
        <w:rPr>
          <w:rFonts w:hint="eastAsia" w:ascii="仿宋_GB2312" w:eastAsia="仿宋_GB2312"/>
          <w:sz w:val="32"/>
          <w:szCs w:val="32"/>
        </w:rPr>
        <w:t>本标准适用于深圳市农产品质量提升联盟高品质储良龙眼，品质分级项目及指标将每年根据国内龙眼相关标准要求的变更进行相应调整。</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55F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79FD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BB79FD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64A20"/>
    <w:multiLevelType w:val="singleLevel"/>
    <w:tmpl w:val="A3664A20"/>
    <w:lvl w:ilvl="0" w:tentative="0">
      <w:start w:val="1"/>
      <w:numFmt w:val="decimal"/>
      <w:suff w:val="nothing"/>
      <w:lvlText w:val="（%1）"/>
      <w:lvlJc w:val="left"/>
    </w:lvl>
  </w:abstractNum>
  <w:abstractNum w:abstractNumId="1">
    <w:nsid w:val="BB1EFE31"/>
    <w:multiLevelType w:val="singleLevel"/>
    <w:tmpl w:val="BB1EFE31"/>
    <w:lvl w:ilvl="0" w:tentative="0">
      <w:start w:val="2"/>
      <w:numFmt w:val="chineseCounting"/>
      <w:suff w:val="nothing"/>
      <w:lvlText w:val="（%1）"/>
      <w:lvlJc w:val="left"/>
      <w:rPr>
        <w:rFonts w:hint="eastAsia"/>
      </w:rPr>
    </w:lvl>
  </w:abstractNum>
  <w:abstractNum w:abstractNumId="2">
    <w:nsid w:val="EA02FFF4"/>
    <w:multiLevelType w:val="singleLevel"/>
    <w:tmpl w:val="EA02FFF4"/>
    <w:lvl w:ilvl="0" w:tentative="0">
      <w:start w:val="1"/>
      <w:numFmt w:val="chineseCounting"/>
      <w:suff w:val="nothing"/>
      <w:lvlText w:val="（%1）"/>
      <w:lvlJc w:val="left"/>
      <w:pPr>
        <w:ind w:left="640" w:firstLine="0"/>
      </w:pPr>
      <w:rPr>
        <w:rFonts w:hint="eastAsia"/>
      </w:rPr>
    </w:lvl>
  </w:abstractNum>
  <w:abstractNum w:abstractNumId="3">
    <w:nsid w:val="032E5610"/>
    <w:multiLevelType w:val="singleLevel"/>
    <w:tmpl w:val="032E5610"/>
    <w:lvl w:ilvl="0" w:tentative="0">
      <w:start w:val="2"/>
      <w:numFmt w:val="chineseCounting"/>
      <w:suff w:val="nothing"/>
      <w:lvlText w:val="%1、"/>
      <w:lvlJc w:val="left"/>
      <w:rPr>
        <w:rFonts w:hint="eastAsia"/>
      </w:rPr>
    </w:lvl>
  </w:abstractNum>
  <w:abstractNum w:abstractNumId="4">
    <w:nsid w:val="408D83F7"/>
    <w:multiLevelType w:val="singleLevel"/>
    <w:tmpl w:val="408D83F7"/>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WZiZjQ4YTFjMmFiYmM5OTAzMDJmZjc3NTQyZGUifQ=="/>
  </w:docVars>
  <w:rsids>
    <w:rsidRoot w:val="007B00FE"/>
    <w:rsid w:val="000E57FB"/>
    <w:rsid w:val="00251DD7"/>
    <w:rsid w:val="00466645"/>
    <w:rsid w:val="0060656F"/>
    <w:rsid w:val="006158B6"/>
    <w:rsid w:val="00661323"/>
    <w:rsid w:val="006C279D"/>
    <w:rsid w:val="006F037C"/>
    <w:rsid w:val="00734EBE"/>
    <w:rsid w:val="007B00FE"/>
    <w:rsid w:val="007C2CE4"/>
    <w:rsid w:val="00A50E76"/>
    <w:rsid w:val="00A64C49"/>
    <w:rsid w:val="00B05565"/>
    <w:rsid w:val="00B074F0"/>
    <w:rsid w:val="00B41FDA"/>
    <w:rsid w:val="00C37380"/>
    <w:rsid w:val="00C837BB"/>
    <w:rsid w:val="00E7311F"/>
    <w:rsid w:val="00F47C0A"/>
    <w:rsid w:val="00F840EF"/>
    <w:rsid w:val="011E0236"/>
    <w:rsid w:val="03783E0A"/>
    <w:rsid w:val="045F6B9B"/>
    <w:rsid w:val="063858F6"/>
    <w:rsid w:val="088E3EF3"/>
    <w:rsid w:val="089A478D"/>
    <w:rsid w:val="089E152A"/>
    <w:rsid w:val="09EF4C97"/>
    <w:rsid w:val="0AA7729E"/>
    <w:rsid w:val="0AC97464"/>
    <w:rsid w:val="0B1D58FE"/>
    <w:rsid w:val="0C272694"/>
    <w:rsid w:val="0E462B7A"/>
    <w:rsid w:val="113373E5"/>
    <w:rsid w:val="11482EBF"/>
    <w:rsid w:val="117F48B9"/>
    <w:rsid w:val="12CC78E0"/>
    <w:rsid w:val="133E6515"/>
    <w:rsid w:val="13D84274"/>
    <w:rsid w:val="142D3EF2"/>
    <w:rsid w:val="14D1667B"/>
    <w:rsid w:val="15074457"/>
    <w:rsid w:val="158C27EA"/>
    <w:rsid w:val="15AE34DE"/>
    <w:rsid w:val="170B670F"/>
    <w:rsid w:val="194A79C2"/>
    <w:rsid w:val="1A6E5932"/>
    <w:rsid w:val="1AB04E2D"/>
    <w:rsid w:val="1B997BC3"/>
    <w:rsid w:val="1DC76D67"/>
    <w:rsid w:val="2051788A"/>
    <w:rsid w:val="207277FE"/>
    <w:rsid w:val="21773466"/>
    <w:rsid w:val="2432065F"/>
    <w:rsid w:val="24B7666D"/>
    <w:rsid w:val="24ED56A6"/>
    <w:rsid w:val="25E25DA3"/>
    <w:rsid w:val="26570C4B"/>
    <w:rsid w:val="28A90122"/>
    <w:rsid w:val="28DC7F0B"/>
    <w:rsid w:val="292258DB"/>
    <w:rsid w:val="296A19BB"/>
    <w:rsid w:val="29CE1F49"/>
    <w:rsid w:val="29FF65A7"/>
    <w:rsid w:val="2A091F98"/>
    <w:rsid w:val="2AE71242"/>
    <w:rsid w:val="2BFE692D"/>
    <w:rsid w:val="2C2C1541"/>
    <w:rsid w:val="2C324C66"/>
    <w:rsid w:val="2DFD4010"/>
    <w:rsid w:val="2FBE65BC"/>
    <w:rsid w:val="30BD0F48"/>
    <w:rsid w:val="34B47F8E"/>
    <w:rsid w:val="34F0546A"/>
    <w:rsid w:val="35CD3896"/>
    <w:rsid w:val="369D33CF"/>
    <w:rsid w:val="37057195"/>
    <w:rsid w:val="37397DA9"/>
    <w:rsid w:val="37533A8E"/>
    <w:rsid w:val="391D3E4B"/>
    <w:rsid w:val="3962445C"/>
    <w:rsid w:val="39700927"/>
    <w:rsid w:val="3BEE3D1E"/>
    <w:rsid w:val="3C7A3ADD"/>
    <w:rsid w:val="3CA628B2"/>
    <w:rsid w:val="3D5D5666"/>
    <w:rsid w:val="3E5756D5"/>
    <w:rsid w:val="3F0538C0"/>
    <w:rsid w:val="410A1661"/>
    <w:rsid w:val="4262727B"/>
    <w:rsid w:val="44851742"/>
    <w:rsid w:val="44E46901"/>
    <w:rsid w:val="453B44DF"/>
    <w:rsid w:val="453C3DB3"/>
    <w:rsid w:val="476873C0"/>
    <w:rsid w:val="482E032B"/>
    <w:rsid w:val="4856518C"/>
    <w:rsid w:val="48765269"/>
    <w:rsid w:val="49E113CD"/>
    <w:rsid w:val="4A663DFD"/>
    <w:rsid w:val="4B10699D"/>
    <w:rsid w:val="4D6E4D26"/>
    <w:rsid w:val="4E4F6905"/>
    <w:rsid w:val="4EC15FC5"/>
    <w:rsid w:val="4EF64064"/>
    <w:rsid w:val="4F155DA1"/>
    <w:rsid w:val="4FEE214E"/>
    <w:rsid w:val="5015592D"/>
    <w:rsid w:val="50194470"/>
    <w:rsid w:val="513B7615"/>
    <w:rsid w:val="53420CD4"/>
    <w:rsid w:val="55366A71"/>
    <w:rsid w:val="55B07EC1"/>
    <w:rsid w:val="56082A83"/>
    <w:rsid w:val="57911D3D"/>
    <w:rsid w:val="57C121AB"/>
    <w:rsid w:val="58BB5497"/>
    <w:rsid w:val="599E29A3"/>
    <w:rsid w:val="5A7122F9"/>
    <w:rsid w:val="5A8C2C8F"/>
    <w:rsid w:val="5BA64343"/>
    <w:rsid w:val="5C5F69F5"/>
    <w:rsid w:val="5CF16E85"/>
    <w:rsid w:val="5D0E6AC9"/>
    <w:rsid w:val="5EE4309A"/>
    <w:rsid w:val="5F225B34"/>
    <w:rsid w:val="5FB23DB8"/>
    <w:rsid w:val="60EC4488"/>
    <w:rsid w:val="61603856"/>
    <w:rsid w:val="61691F7C"/>
    <w:rsid w:val="62FC19D5"/>
    <w:rsid w:val="63667C30"/>
    <w:rsid w:val="647C11CB"/>
    <w:rsid w:val="65CF6EC9"/>
    <w:rsid w:val="66833198"/>
    <w:rsid w:val="66FC2F4B"/>
    <w:rsid w:val="6787579F"/>
    <w:rsid w:val="67C223E6"/>
    <w:rsid w:val="67DD292A"/>
    <w:rsid w:val="6848469A"/>
    <w:rsid w:val="698E1588"/>
    <w:rsid w:val="6A3A44B6"/>
    <w:rsid w:val="6B4D1FC7"/>
    <w:rsid w:val="6C9C4D78"/>
    <w:rsid w:val="6CB542C8"/>
    <w:rsid w:val="6E150C55"/>
    <w:rsid w:val="72150C78"/>
    <w:rsid w:val="72E2318E"/>
    <w:rsid w:val="73613DC2"/>
    <w:rsid w:val="73852DA3"/>
    <w:rsid w:val="74F9638D"/>
    <w:rsid w:val="758B1AF7"/>
    <w:rsid w:val="75D56830"/>
    <w:rsid w:val="762C1C24"/>
    <w:rsid w:val="76740D50"/>
    <w:rsid w:val="77B30F43"/>
    <w:rsid w:val="78554CE5"/>
    <w:rsid w:val="791C7E11"/>
    <w:rsid w:val="7A37456E"/>
    <w:rsid w:val="7A7E3F4B"/>
    <w:rsid w:val="7AAF1FB9"/>
    <w:rsid w:val="7AD43BB9"/>
    <w:rsid w:val="7B4E0432"/>
    <w:rsid w:val="7E9A50CB"/>
    <w:rsid w:val="7F256561"/>
    <w:rsid w:val="7FDB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unhideWhenUsed/>
    <w:qFormat/>
    <w:uiPriority w:val="99"/>
    <w:pPr>
      <w:ind w:firstLine="420" w:firstLineChars="200"/>
    </w:p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sz w:val="18"/>
      <w:szCs w:val="18"/>
    </w:rPr>
  </w:style>
  <w:style w:type="character" w:customStyle="1" w:styleId="11">
    <w:name w:val="页脚 Char"/>
    <w:basedOn w:val="9"/>
    <w:link w:val="4"/>
    <w:autoRedefine/>
    <w:qFormat/>
    <w:uiPriority w:val="99"/>
    <w:rPr>
      <w:sz w:val="18"/>
      <w:szCs w:val="18"/>
    </w:rPr>
  </w:style>
  <w:style w:type="character" w:customStyle="1" w:styleId="12">
    <w:name w:val="font31"/>
    <w:basedOn w:val="9"/>
    <w:qFormat/>
    <w:uiPriority w:val="0"/>
    <w:rPr>
      <w:rFonts w:hint="eastAsia" w:ascii="宋体" w:hAnsi="宋体" w:eastAsia="宋体" w:cs="宋体"/>
      <w:color w:val="000000"/>
      <w:sz w:val="21"/>
      <w:szCs w:val="21"/>
      <w:u w:val="none"/>
      <w:vertAlign w:val="superscript"/>
    </w:rPr>
  </w:style>
  <w:style w:type="character" w:customStyle="1" w:styleId="13">
    <w:name w:val="font11"/>
    <w:basedOn w:val="9"/>
    <w:qFormat/>
    <w:uiPriority w:val="0"/>
    <w:rPr>
      <w:rFonts w:hint="eastAsia" w:ascii="宋体" w:hAnsi="宋体" w:eastAsia="宋体" w:cs="宋体"/>
      <w:color w:val="000000"/>
      <w:sz w:val="21"/>
      <w:szCs w:val="21"/>
      <w:u w:val="none"/>
    </w:rPr>
  </w:style>
  <w:style w:type="character" w:customStyle="1" w:styleId="14">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9</Pages>
  <Words>2369</Words>
  <Characters>2708</Characters>
  <Lines>21</Lines>
  <Paragraphs>5</Paragraphs>
  <TotalTime>139</TotalTime>
  <ScaleCrop>false</ScaleCrop>
  <LinksUpToDate>false</LinksUpToDate>
  <CharactersWithSpaces>2847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2019-06-17T00:49:00Z</dcterms:created>
  <dc:creator>陈炜霖</dc:creator>
  <cp:lastModifiedBy>陌殇</cp:lastModifiedBy>
  <dcterms:modified xsi:type="dcterms:W3CDTF">2025-04-14T01:19:41Z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7D0B345177EB464795F345151D447C72_13</vt:lpwstr>
  </property>
  <property fmtid="{D5CDD505-2E9C-101B-9397-08002B2CF9AE}" pid="4" name="KSOTemplateDocerSaveRecord">
    <vt:lpwstr>eyJoZGlkIjoiZjNhMWZiZjQ4YTFjMmFiYmM5OTAzMDJmZjc3NTQyZGUiLCJ1c2VySWQiOiIyNjY5NzMxMDUifQ==</vt:lpwstr>
  </property>
</Properties>
</file>